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3EE9D" w14:textId="77777777" w:rsidR="007016B1" w:rsidRDefault="007016B1" w:rsidP="007016B1">
      <w:pPr>
        <w:pStyle w:val="Title"/>
        <w:rPr>
          <w:lang w:val="en-AU"/>
        </w:rPr>
      </w:pPr>
    </w:p>
    <w:p w14:paraId="3255BA24" w14:textId="77777777" w:rsidR="007016B1" w:rsidRDefault="007016B1" w:rsidP="007016B1"/>
    <w:p w14:paraId="1DD2C2A5" w14:textId="77777777" w:rsidR="007016B1" w:rsidRDefault="007016B1" w:rsidP="007016B1"/>
    <w:p w14:paraId="398201AE" w14:textId="77777777" w:rsidR="007016B1" w:rsidRDefault="007016B1" w:rsidP="007016B1"/>
    <w:p w14:paraId="4B874837" w14:textId="77777777" w:rsidR="007016B1" w:rsidRDefault="007016B1" w:rsidP="007016B1"/>
    <w:p w14:paraId="1FEA399A" w14:textId="77777777" w:rsidR="007016B1" w:rsidRDefault="007016B1" w:rsidP="007016B1"/>
    <w:p w14:paraId="77B097B1" w14:textId="77777777" w:rsidR="007016B1" w:rsidRDefault="007016B1" w:rsidP="007016B1"/>
    <w:p w14:paraId="4CB85DD5" w14:textId="77777777" w:rsidR="007016B1" w:rsidRDefault="007016B1" w:rsidP="007016B1"/>
    <w:p w14:paraId="57F48A05" w14:textId="77777777" w:rsidR="007016B1" w:rsidRDefault="007016B1" w:rsidP="007016B1"/>
    <w:p w14:paraId="5B5FD342" w14:textId="77777777" w:rsidR="007016B1" w:rsidRDefault="007016B1" w:rsidP="007016B1"/>
    <w:p w14:paraId="063864F8" w14:textId="77777777" w:rsidR="007016B1" w:rsidRDefault="007016B1" w:rsidP="007016B1"/>
    <w:p w14:paraId="3C863757" w14:textId="77777777" w:rsidR="007016B1" w:rsidRDefault="007016B1" w:rsidP="007016B1"/>
    <w:p w14:paraId="0405D5C2" w14:textId="77777777" w:rsidR="007016B1" w:rsidRDefault="007016B1" w:rsidP="007016B1"/>
    <w:p w14:paraId="6EE61C16" w14:textId="77777777" w:rsidR="007016B1" w:rsidRDefault="007016B1" w:rsidP="007016B1"/>
    <w:p w14:paraId="0CD06311" w14:textId="77777777" w:rsidR="007016B1" w:rsidRDefault="007016B1" w:rsidP="007016B1"/>
    <w:p w14:paraId="31754C62" w14:textId="77777777" w:rsidR="007016B1" w:rsidRPr="003F6541" w:rsidRDefault="007016B1" w:rsidP="007016B1"/>
    <w:p w14:paraId="7C0010D5" w14:textId="77777777" w:rsidR="007016B1" w:rsidRDefault="007016B1" w:rsidP="007016B1">
      <w:pPr>
        <w:pStyle w:val="Title"/>
        <w:rPr>
          <w:lang w:val="en-AU"/>
        </w:rPr>
      </w:pPr>
      <w:r>
        <w:rPr>
          <w:lang w:val="en-AU"/>
        </w:rPr>
        <w:t>a critical analysis of whether the zone tax offset contravenes the australian constitutional prohibition on taxes that discriminate between states or parts of states</w:t>
      </w:r>
    </w:p>
    <w:p w14:paraId="2992B54A" w14:textId="77777777" w:rsidR="007016B1" w:rsidRDefault="007016B1" w:rsidP="007016B1">
      <w:pPr>
        <w:jc w:val="center"/>
      </w:pPr>
    </w:p>
    <w:p w14:paraId="7C419FBC" w14:textId="77777777" w:rsidR="007016B1" w:rsidRDefault="007016B1" w:rsidP="007016B1">
      <w:pPr>
        <w:jc w:val="center"/>
      </w:pPr>
    </w:p>
    <w:p w14:paraId="7C99F6EA" w14:textId="77777777" w:rsidR="007016B1" w:rsidRDefault="007016B1" w:rsidP="007016B1">
      <w:pPr>
        <w:jc w:val="center"/>
      </w:pPr>
    </w:p>
    <w:p w14:paraId="39A26685" w14:textId="77777777" w:rsidR="007016B1" w:rsidRDefault="007016B1" w:rsidP="007016B1">
      <w:pPr>
        <w:jc w:val="center"/>
      </w:pPr>
    </w:p>
    <w:p w14:paraId="2643CB5E" w14:textId="77777777" w:rsidR="007016B1" w:rsidRDefault="007016B1" w:rsidP="007016B1">
      <w:pPr>
        <w:jc w:val="center"/>
      </w:pPr>
    </w:p>
    <w:p w14:paraId="11DDA0D4" w14:textId="77777777" w:rsidR="007016B1" w:rsidRDefault="007016B1" w:rsidP="007016B1">
      <w:pPr>
        <w:jc w:val="center"/>
      </w:pPr>
    </w:p>
    <w:p w14:paraId="7E6FAA05" w14:textId="77777777" w:rsidR="007016B1" w:rsidRDefault="007016B1" w:rsidP="007016B1">
      <w:pPr>
        <w:jc w:val="center"/>
      </w:pPr>
    </w:p>
    <w:p w14:paraId="1CDA8D2F" w14:textId="77777777" w:rsidR="007016B1" w:rsidRDefault="007016B1" w:rsidP="007016B1">
      <w:pPr>
        <w:jc w:val="center"/>
      </w:pPr>
    </w:p>
    <w:p w14:paraId="07671839" w14:textId="77777777" w:rsidR="007016B1" w:rsidRDefault="007016B1" w:rsidP="007016B1">
      <w:pPr>
        <w:jc w:val="center"/>
      </w:pPr>
    </w:p>
    <w:p w14:paraId="1918F583" w14:textId="77777777" w:rsidR="007016B1" w:rsidRDefault="007016B1" w:rsidP="007016B1">
      <w:pPr>
        <w:jc w:val="center"/>
      </w:pPr>
    </w:p>
    <w:p w14:paraId="411C7AD7" w14:textId="1129297F" w:rsidR="007016B1" w:rsidRPr="007016B1" w:rsidRDefault="007016B1" w:rsidP="007016B1">
      <w:pPr>
        <w:jc w:val="center"/>
        <w:rPr>
          <w:smallCaps/>
        </w:rPr>
      </w:pPr>
      <w:r w:rsidRPr="003F6541">
        <w:rPr>
          <w:smallCaps/>
        </w:rPr>
        <w:t>Paper 38 – Public Law Seminar</w:t>
      </w:r>
    </w:p>
    <w:p w14:paraId="7C769CA5" w14:textId="77777777" w:rsidR="007016B1" w:rsidRDefault="007016B1">
      <w:pPr>
        <w:rPr>
          <w:rFonts w:eastAsiaTheme="majorEastAsia" w:cstheme="majorBidi"/>
          <w:b/>
          <w:bCs/>
          <w:caps/>
          <w:spacing w:val="-10"/>
          <w:kern w:val="28"/>
          <w:lang w:val="en-AU"/>
        </w:rPr>
      </w:pPr>
      <w:r>
        <w:rPr>
          <w:lang w:val="en-AU"/>
        </w:rPr>
        <w:br w:type="page"/>
      </w:r>
    </w:p>
    <w:p w14:paraId="332B206E" w14:textId="77777777" w:rsidR="008E4B6C" w:rsidRDefault="008E4B6C" w:rsidP="008E4B6C">
      <w:pPr>
        <w:pStyle w:val="Title"/>
        <w:rPr>
          <w:lang w:val="en-AU"/>
        </w:rPr>
      </w:pPr>
      <w:r>
        <w:rPr>
          <w:lang w:val="en-AU"/>
        </w:rPr>
        <w:lastRenderedPageBreak/>
        <w:t>a critical analysis of whether the zone tax offset contravenes the australian constitutional prohibition on taxes that discriminate between states or parts of states</w:t>
      </w:r>
    </w:p>
    <w:sdt>
      <w:sdtPr>
        <w:rPr>
          <w:rFonts w:ascii="Times New Roman" w:eastAsiaTheme="minorHAnsi" w:hAnsi="Times New Roman" w:cs="Times New Roman"/>
          <w:b w:val="0"/>
          <w:bCs w:val="0"/>
          <w:color w:val="auto"/>
          <w:sz w:val="24"/>
          <w:szCs w:val="24"/>
        </w:rPr>
        <w:id w:val="454379887"/>
        <w:docPartObj>
          <w:docPartGallery w:val="Table of Contents"/>
          <w:docPartUnique/>
        </w:docPartObj>
      </w:sdtPr>
      <w:sdtEndPr>
        <w:rPr>
          <w:noProof/>
        </w:rPr>
      </w:sdtEndPr>
      <w:sdtContent>
        <w:p w14:paraId="2F66F3C1" w14:textId="37BDF5C9" w:rsidR="008E4B6C" w:rsidRPr="00BD5CB7" w:rsidRDefault="008E4B6C">
          <w:pPr>
            <w:pStyle w:val="TOCHeading"/>
            <w:rPr>
              <w:rFonts w:ascii="Times New Roman" w:hAnsi="Times New Roman" w:cs="Times New Roman"/>
              <w:color w:val="auto"/>
            </w:rPr>
          </w:pPr>
          <w:r w:rsidRPr="00BD5CB7">
            <w:rPr>
              <w:rFonts w:ascii="Times New Roman" w:hAnsi="Times New Roman" w:cs="Times New Roman"/>
              <w:color w:val="auto"/>
            </w:rPr>
            <w:t>Table of Contents</w:t>
          </w:r>
        </w:p>
        <w:p w14:paraId="3456CC43" w14:textId="77777777" w:rsidR="00BD5CB7" w:rsidRPr="00BD5CB7" w:rsidRDefault="008E4B6C">
          <w:pPr>
            <w:pStyle w:val="TOC1"/>
            <w:tabs>
              <w:tab w:val="right" w:leader="dot" w:pos="9010"/>
            </w:tabs>
            <w:rPr>
              <w:rFonts w:ascii="Times New Roman" w:eastAsiaTheme="minorEastAsia" w:hAnsi="Times New Roman" w:cs="Times New Roman"/>
              <w:b w:val="0"/>
              <w:bCs w:val="0"/>
              <w:caps w:val="0"/>
              <w:noProof/>
              <w:sz w:val="24"/>
              <w:szCs w:val="24"/>
            </w:rPr>
          </w:pPr>
          <w:r w:rsidRPr="00BD5CB7">
            <w:rPr>
              <w:rFonts w:ascii="Times New Roman" w:hAnsi="Times New Roman" w:cs="Times New Roman"/>
              <w:b w:val="0"/>
              <w:bCs w:val="0"/>
            </w:rPr>
            <w:fldChar w:fldCharType="begin"/>
          </w:r>
          <w:r w:rsidRPr="00BD5CB7">
            <w:rPr>
              <w:rFonts w:ascii="Times New Roman" w:hAnsi="Times New Roman" w:cs="Times New Roman"/>
            </w:rPr>
            <w:instrText xml:space="preserve"> TOC \o "1-3" \h \z \u </w:instrText>
          </w:r>
          <w:r w:rsidRPr="00BD5CB7">
            <w:rPr>
              <w:rFonts w:ascii="Times New Roman" w:hAnsi="Times New Roman" w:cs="Times New Roman"/>
              <w:b w:val="0"/>
              <w:bCs w:val="0"/>
            </w:rPr>
            <w:fldChar w:fldCharType="separate"/>
          </w:r>
          <w:hyperlink w:anchor="_Toc449554415" w:history="1">
            <w:r w:rsidR="00BD5CB7" w:rsidRPr="00BD5CB7">
              <w:rPr>
                <w:rStyle w:val="Hyperlink"/>
                <w:rFonts w:ascii="Times New Roman" w:hAnsi="Times New Roman" w:cs="Times New Roman"/>
                <w:noProof/>
                <w:lang w:val="en-AU"/>
              </w:rPr>
              <w:t>I Introduction</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_Toc449554415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3</w:t>
            </w:r>
            <w:r w:rsidR="00BD5CB7" w:rsidRPr="00BD5CB7">
              <w:rPr>
                <w:rFonts w:ascii="Times New Roman" w:hAnsi="Times New Roman" w:cs="Times New Roman"/>
                <w:noProof/>
                <w:webHidden/>
              </w:rPr>
              <w:fldChar w:fldCharType="end"/>
            </w:r>
          </w:hyperlink>
        </w:p>
        <w:p w14:paraId="00E70414" w14:textId="77777777" w:rsidR="00BD5CB7" w:rsidRPr="00BD5CB7" w:rsidRDefault="00D86988">
          <w:pPr>
            <w:pStyle w:val="TOC1"/>
            <w:tabs>
              <w:tab w:val="right" w:leader="dot" w:pos="9010"/>
            </w:tabs>
            <w:rPr>
              <w:rFonts w:ascii="Times New Roman" w:eastAsiaTheme="minorEastAsia" w:hAnsi="Times New Roman" w:cs="Times New Roman"/>
              <w:b w:val="0"/>
              <w:bCs w:val="0"/>
              <w:caps w:val="0"/>
              <w:noProof/>
              <w:sz w:val="24"/>
              <w:szCs w:val="24"/>
            </w:rPr>
          </w:pPr>
          <w:hyperlink w:anchor="_Toc449554416" w:history="1">
            <w:r w:rsidR="00BD5CB7" w:rsidRPr="00BD5CB7">
              <w:rPr>
                <w:rStyle w:val="Hyperlink"/>
                <w:rFonts w:ascii="Times New Roman" w:hAnsi="Times New Roman" w:cs="Times New Roman"/>
                <w:noProof/>
              </w:rPr>
              <w:t>II Constitutional and Legislative Context</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_Toc449554416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4</w:t>
            </w:r>
            <w:r w:rsidR="00BD5CB7" w:rsidRPr="00BD5CB7">
              <w:rPr>
                <w:rFonts w:ascii="Times New Roman" w:hAnsi="Times New Roman" w:cs="Times New Roman"/>
                <w:noProof/>
                <w:webHidden/>
              </w:rPr>
              <w:fldChar w:fldCharType="end"/>
            </w:r>
          </w:hyperlink>
        </w:p>
        <w:p w14:paraId="39942FA9" w14:textId="77777777" w:rsidR="00BD5CB7" w:rsidRPr="00BD5CB7" w:rsidRDefault="00D86988">
          <w:pPr>
            <w:pStyle w:val="TOC2"/>
            <w:tabs>
              <w:tab w:val="right" w:leader="dot" w:pos="9010"/>
            </w:tabs>
            <w:rPr>
              <w:rFonts w:ascii="Times New Roman" w:eastAsiaTheme="minorEastAsia" w:hAnsi="Times New Roman" w:cs="Times New Roman"/>
              <w:smallCaps w:val="0"/>
              <w:noProof/>
              <w:sz w:val="24"/>
              <w:szCs w:val="24"/>
            </w:rPr>
          </w:pPr>
          <w:hyperlink w:anchor="_Toc449554417" w:history="1">
            <w:r w:rsidR="00BD5CB7" w:rsidRPr="00BD5CB7">
              <w:rPr>
                <w:rStyle w:val="Hyperlink"/>
                <w:rFonts w:ascii="Times New Roman" w:hAnsi="Times New Roman" w:cs="Times New Roman"/>
                <w:noProof/>
              </w:rPr>
              <w:t>A Section 51(ii) and Related Constitutional Provisions</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_Toc449554417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4</w:t>
            </w:r>
            <w:r w:rsidR="00BD5CB7" w:rsidRPr="00BD5CB7">
              <w:rPr>
                <w:rFonts w:ascii="Times New Roman" w:hAnsi="Times New Roman" w:cs="Times New Roman"/>
                <w:noProof/>
                <w:webHidden/>
              </w:rPr>
              <w:fldChar w:fldCharType="end"/>
            </w:r>
          </w:hyperlink>
        </w:p>
        <w:p w14:paraId="04F52950" w14:textId="77777777" w:rsidR="00BD5CB7" w:rsidRPr="00BD5CB7" w:rsidRDefault="00D86988">
          <w:pPr>
            <w:pStyle w:val="TOC2"/>
            <w:tabs>
              <w:tab w:val="right" w:leader="dot" w:pos="9010"/>
            </w:tabs>
            <w:rPr>
              <w:rFonts w:ascii="Times New Roman" w:eastAsiaTheme="minorEastAsia" w:hAnsi="Times New Roman" w:cs="Times New Roman"/>
              <w:smallCaps w:val="0"/>
              <w:noProof/>
              <w:sz w:val="24"/>
              <w:szCs w:val="24"/>
            </w:rPr>
          </w:pPr>
          <w:hyperlink w:anchor="_Toc449554418" w:history="1">
            <w:r w:rsidR="00BD5CB7" w:rsidRPr="00BD5CB7">
              <w:rPr>
                <w:rStyle w:val="Hyperlink"/>
                <w:rFonts w:ascii="Times New Roman" w:hAnsi="Times New Roman" w:cs="Times New Roman"/>
                <w:noProof/>
              </w:rPr>
              <w:t>B Income Tax</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_Toc449554418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6</w:t>
            </w:r>
            <w:r w:rsidR="00BD5CB7" w:rsidRPr="00BD5CB7">
              <w:rPr>
                <w:rFonts w:ascii="Times New Roman" w:hAnsi="Times New Roman" w:cs="Times New Roman"/>
                <w:noProof/>
                <w:webHidden/>
              </w:rPr>
              <w:fldChar w:fldCharType="end"/>
            </w:r>
          </w:hyperlink>
        </w:p>
        <w:p w14:paraId="4C3E8282" w14:textId="77777777" w:rsidR="00BD5CB7" w:rsidRPr="00BD5CB7" w:rsidRDefault="00D86988">
          <w:pPr>
            <w:pStyle w:val="TOC2"/>
            <w:tabs>
              <w:tab w:val="right" w:leader="dot" w:pos="9010"/>
            </w:tabs>
            <w:rPr>
              <w:rFonts w:ascii="Times New Roman" w:eastAsiaTheme="minorEastAsia" w:hAnsi="Times New Roman" w:cs="Times New Roman"/>
              <w:smallCaps w:val="0"/>
              <w:noProof/>
              <w:sz w:val="24"/>
              <w:szCs w:val="24"/>
            </w:rPr>
          </w:pPr>
          <w:hyperlink w:anchor="_Toc449554419" w:history="1">
            <w:r w:rsidR="00BD5CB7" w:rsidRPr="00BD5CB7">
              <w:rPr>
                <w:rStyle w:val="Hyperlink"/>
                <w:rFonts w:ascii="Times New Roman" w:hAnsi="Times New Roman" w:cs="Times New Roman"/>
                <w:noProof/>
              </w:rPr>
              <w:t>C Zone Tax Offset</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_Toc449554419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7</w:t>
            </w:r>
            <w:r w:rsidR="00BD5CB7" w:rsidRPr="00BD5CB7">
              <w:rPr>
                <w:rFonts w:ascii="Times New Roman" w:hAnsi="Times New Roman" w:cs="Times New Roman"/>
                <w:noProof/>
                <w:webHidden/>
              </w:rPr>
              <w:fldChar w:fldCharType="end"/>
            </w:r>
          </w:hyperlink>
        </w:p>
        <w:p w14:paraId="152181A8" w14:textId="77777777" w:rsidR="00BD5CB7" w:rsidRPr="00BD5CB7" w:rsidRDefault="00D86988">
          <w:pPr>
            <w:pStyle w:val="TOC2"/>
            <w:tabs>
              <w:tab w:val="right" w:leader="dot" w:pos="9010"/>
            </w:tabs>
            <w:rPr>
              <w:rFonts w:ascii="Times New Roman" w:eastAsiaTheme="minorEastAsia" w:hAnsi="Times New Roman" w:cs="Times New Roman"/>
              <w:smallCaps w:val="0"/>
              <w:noProof/>
              <w:sz w:val="24"/>
              <w:szCs w:val="24"/>
            </w:rPr>
          </w:pPr>
          <w:hyperlink w:anchor="_Toc449554420" w:history="1">
            <w:r w:rsidR="00BD5CB7" w:rsidRPr="00BD5CB7">
              <w:rPr>
                <w:rStyle w:val="Hyperlink"/>
                <w:rFonts w:ascii="Times New Roman" w:hAnsi="Times New Roman" w:cs="Times New Roman"/>
                <w:noProof/>
                <w:lang w:val="en-AU"/>
              </w:rPr>
              <w:t>D Historical Views on the Constitutionality of the Zone Tax Offset</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_Toc449554420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10</w:t>
            </w:r>
            <w:r w:rsidR="00BD5CB7" w:rsidRPr="00BD5CB7">
              <w:rPr>
                <w:rFonts w:ascii="Times New Roman" w:hAnsi="Times New Roman" w:cs="Times New Roman"/>
                <w:noProof/>
                <w:webHidden/>
              </w:rPr>
              <w:fldChar w:fldCharType="end"/>
            </w:r>
          </w:hyperlink>
        </w:p>
        <w:p w14:paraId="4177C7FF" w14:textId="77777777" w:rsidR="00BD5CB7" w:rsidRPr="00BD5CB7" w:rsidRDefault="00D86988">
          <w:pPr>
            <w:pStyle w:val="TOC1"/>
            <w:tabs>
              <w:tab w:val="right" w:leader="dot" w:pos="9010"/>
            </w:tabs>
            <w:rPr>
              <w:rFonts w:ascii="Times New Roman" w:eastAsiaTheme="minorEastAsia" w:hAnsi="Times New Roman" w:cs="Times New Roman"/>
              <w:b w:val="0"/>
              <w:bCs w:val="0"/>
              <w:caps w:val="0"/>
              <w:noProof/>
              <w:sz w:val="24"/>
              <w:szCs w:val="24"/>
            </w:rPr>
          </w:pPr>
          <w:hyperlink w:anchor="_Toc449554421" w:history="1">
            <w:r w:rsidR="00BD5CB7" w:rsidRPr="00BD5CB7">
              <w:rPr>
                <w:rStyle w:val="Hyperlink"/>
                <w:rFonts w:ascii="Times New Roman" w:hAnsi="Times New Roman" w:cs="Times New Roman"/>
                <w:noProof/>
              </w:rPr>
              <w:t>III Explanatory Materials</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_Toc449554421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11</w:t>
            </w:r>
            <w:r w:rsidR="00BD5CB7" w:rsidRPr="00BD5CB7">
              <w:rPr>
                <w:rFonts w:ascii="Times New Roman" w:hAnsi="Times New Roman" w:cs="Times New Roman"/>
                <w:noProof/>
                <w:webHidden/>
              </w:rPr>
              <w:fldChar w:fldCharType="end"/>
            </w:r>
          </w:hyperlink>
        </w:p>
        <w:p w14:paraId="2B4063CB" w14:textId="77777777" w:rsidR="00BD5CB7" w:rsidRPr="00BD5CB7" w:rsidRDefault="00D86988">
          <w:pPr>
            <w:pStyle w:val="TOC1"/>
            <w:tabs>
              <w:tab w:val="right" w:leader="dot" w:pos="9010"/>
            </w:tabs>
            <w:rPr>
              <w:rFonts w:ascii="Times New Roman" w:eastAsiaTheme="minorEastAsia" w:hAnsi="Times New Roman" w:cs="Times New Roman"/>
              <w:b w:val="0"/>
              <w:bCs w:val="0"/>
              <w:caps w:val="0"/>
              <w:noProof/>
              <w:sz w:val="24"/>
              <w:szCs w:val="24"/>
            </w:rPr>
          </w:pPr>
          <w:hyperlink w:anchor="_Toc449554422" w:history="1">
            <w:r w:rsidR="00BD5CB7" w:rsidRPr="00BD5CB7">
              <w:rPr>
                <w:rStyle w:val="Hyperlink"/>
                <w:rFonts w:ascii="Times New Roman" w:hAnsi="Times New Roman" w:cs="Times New Roman"/>
                <w:noProof/>
              </w:rPr>
              <w:t>IV Jurisprudence on Related Provisions</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_Toc449554422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15</w:t>
            </w:r>
            <w:r w:rsidR="00BD5CB7" w:rsidRPr="00BD5CB7">
              <w:rPr>
                <w:rFonts w:ascii="Times New Roman" w:hAnsi="Times New Roman" w:cs="Times New Roman"/>
                <w:noProof/>
                <w:webHidden/>
              </w:rPr>
              <w:fldChar w:fldCharType="end"/>
            </w:r>
          </w:hyperlink>
        </w:p>
        <w:p w14:paraId="60413AA3" w14:textId="77777777" w:rsidR="00BD5CB7" w:rsidRPr="00BD5CB7" w:rsidRDefault="00D86988">
          <w:pPr>
            <w:pStyle w:val="TOC1"/>
            <w:tabs>
              <w:tab w:val="right" w:leader="dot" w:pos="9010"/>
            </w:tabs>
            <w:rPr>
              <w:rFonts w:ascii="Times New Roman" w:eastAsiaTheme="minorEastAsia" w:hAnsi="Times New Roman" w:cs="Times New Roman"/>
              <w:b w:val="0"/>
              <w:bCs w:val="0"/>
              <w:caps w:val="0"/>
              <w:noProof/>
              <w:sz w:val="24"/>
              <w:szCs w:val="24"/>
            </w:rPr>
          </w:pPr>
          <w:hyperlink w:anchor="_Toc449554423" w:history="1">
            <w:r w:rsidR="00BD5CB7" w:rsidRPr="00BD5CB7">
              <w:rPr>
                <w:rStyle w:val="Hyperlink"/>
                <w:rFonts w:ascii="Times New Roman" w:hAnsi="Times New Roman" w:cs="Times New Roman"/>
                <w:noProof/>
              </w:rPr>
              <w:t>V Jurisprudence on Section 51(ii)</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_Toc449554423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17</w:t>
            </w:r>
            <w:r w:rsidR="00BD5CB7" w:rsidRPr="00BD5CB7">
              <w:rPr>
                <w:rFonts w:ascii="Times New Roman" w:hAnsi="Times New Roman" w:cs="Times New Roman"/>
                <w:noProof/>
                <w:webHidden/>
              </w:rPr>
              <w:fldChar w:fldCharType="end"/>
            </w:r>
          </w:hyperlink>
        </w:p>
        <w:p w14:paraId="41735B87" w14:textId="77777777" w:rsidR="00BD5CB7" w:rsidRPr="00BD5CB7" w:rsidRDefault="00D86988">
          <w:pPr>
            <w:pStyle w:val="TOC2"/>
            <w:tabs>
              <w:tab w:val="right" w:leader="dot" w:pos="9010"/>
            </w:tabs>
            <w:rPr>
              <w:rFonts w:ascii="Times New Roman" w:eastAsiaTheme="minorEastAsia" w:hAnsi="Times New Roman" w:cs="Times New Roman"/>
              <w:smallCaps w:val="0"/>
              <w:noProof/>
              <w:sz w:val="24"/>
              <w:szCs w:val="24"/>
            </w:rPr>
          </w:pPr>
          <w:hyperlink w:anchor="_Toc449554424" w:history="1">
            <w:r w:rsidR="00BD5CB7" w:rsidRPr="00BD5CB7">
              <w:rPr>
                <w:rStyle w:val="Hyperlink"/>
                <w:rFonts w:ascii="Times New Roman" w:hAnsi="Times New Roman" w:cs="Times New Roman"/>
                <w:noProof/>
              </w:rPr>
              <w:t>A Introduction</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_Toc449554424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17</w:t>
            </w:r>
            <w:r w:rsidR="00BD5CB7" w:rsidRPr="00BD5CB7">
              <w:rPr>
                <w:rFonts w:ascii="Times New Roman" w:hAnsi="Times New Roman" w:cs="Times New Roman"/>
                <w:noProof/>
                <w:webHidden/>
              </w:rPr>
              <w:fldChar w:fldCharType="end"/>
            </w:r>
          </w:hyperlink>
        </w:p>
        <w:p w14:paraId="018B1B7F" w14:textId="77777777" w:rsidR="00BD5CB7" w:rsidRPr="00BD5CB7" w:rsidRDefault="00D86988">
          <w:pPr>
            <w:pStyle w:val="TOC2"/>
            <w:tabs>
              <w:tab w:val="right" w:leader="dot" w:pos="9010"/>
            </w:tabs>
            <w:rPr>
              <w:rFonts w:ascii="Times New Roman" w:eastAsiaTheme="minorEastAsia" w:hAnsi="Times New Roman" w:cs="Times New Roman"/>
              <w:smallCaps w:val="0"/>
              <w:noProof/>
              <w:sz w:val="24"/>
              <w:szCs w:val="24"/>
            </w:rPr>
          </w:pPr>
          <w:hyperlink w:anchor="_Toc449554425" w:history="1">
            <w:r w:rsidR="00BD5CB7" w:rsidRPr="00BD5CB7">
              <w:rPr>
                <w:rStyle w:val="Hyperlink"/>
                <w:rFonts w:ascii="Times New Roman" w:hAnsi="Times New Roman" w:cs="Times New Roman"/>
                <w:noProof/>
                <w:lang w:val="en-AU"/>
              </w:rPr>
              <w:t>B Differential Treatment Due to State Connection</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_Toc449554425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19</w:t>
            </w:r>
            <w:r w:rsidR="00BD5CB7" w:rsidRPr="00BD5CB7">
              <w:rPr>
                <w:rFonts w:ascii="Times New Roman" w:hAnsi="Times New Roman" w:cs="Times New Roman"/>
                <w:noProof/>
                <w:webHidden/>
              </w:rPr>
              <w:fldChar w:fldCharType="end"/>
            </w:r>
          </w:hyperlink>
        </w:p>
        <w:p w14:paraId="50AA7542" w14:textId="77777777" w:rsidR="00BD5CB7" w:rsidRPr="00BD5CB7" w:rsidRDefault="00D86988">
          <w:pPr>
            <w:pStyle w:val="TOC2"/>
            <w:tabs>
              <w:tab w:val="right" w:leader="dot" w:pos="9010"/>
            </w:tabs>
            <w:rPr>
              <w:rFonts w:ascii="Times New Roman" w:eastAsiaTheme="minorEastAsia" w:hAnsi="Times New Roman" w:cs="Times New Roman"/>
              <w:smallCaps w:val="0"/>
              <w:noProof/>
              <w:sz w:val="24"/>
              <w:szCs w:val="24"/>
            </w:rPr>
          </w:pPr>
          <w:hyperlink w:anchor="_Toc449554426" w:history="1">
            <w:r w:rsidR="00BD5CB7" w:rsidRPr="00BD5CB7">
              <w:rPr>
                <w:rStyle w:val="Hyperlink"/>
                <w:rFonts w:ascii="Times New Roman" w:hAnsi="Times New Roman" w:cs="Times New Roman"/>
                <w:noProof/>
                <w:lang w:val="en-AU"/>
              </w:rPr>
              <w:t>C Relevance of Objectives and Proportionality</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_Toc449554426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25</w:t>
            </w:r>
            <w:r w:rsidR="00BD5CB7" w:rsidRPr="00BD5CB7">
              <w:rPr>
                <w:rFonts w:ascii="Times New Roman" w:hAnsi="Times New Roman" w:cs="Times New Roman"/>
                <w:noProof/>
                <w:webHidden/>
              </w:rPr>
              <w:fldChar w:fldCharType="end"/>
            </w:r>
          </w:hyperlink>
        </w:p>
        <w:p w14:paraId="36613F91" w14:textId="77777777" w:rsidR="00BD5CB7" w:rsidRPr="00BD5CB7" w:rsidRDefault="00D86988">
          <w:pPr>
            <w:pStyle w:val="TOC2"/>
            <w:tabs>
              <w:tab w:val="right" w:leader="dot" w:pos="9010"/>
            </w:tabs>
            <w:rPr>
              <w:rFonts w:ascii="Times New Roman" w:eastAsiaTheme="minorEastAsia" w:hAnsi="Times New Roman" w:cs="Times New Roman"/>
              <w:smallCaps w:val="0"/>
              <w:noProof/>
              <w:sz w:val="24"/>
              <w:szCs w:val="24"/>
            </w:rPr>
          </w:pPr>
          <w:hyperlink w:anchor="_Toc449554427" w:history="1">
            <w:r w:rsidR="00BD5CB7" w:rsidRPr="00BD5CB7">
              <w:rPr>
                <w:rStyle w:val="Hyperlink"/>
                <w:rFonts w:ascii="Times New Roman" w:hAnsi="Times New Roman" w:cs="Times New Roman"/>
                <w:noProof/>
              </w:rPr>
              <w:t>D Conclusion</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_Toc449554427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31</w:t>
            </w:r>
            <w:r w:rsidR="00BD5CB7" w:rsidRPr="00BD5CB7">
              <w:rPr>
                <w:rFonts w:ascii="Times New Roman" w:hAnsi="Times New Roman" w:cs="Times New Roman"/>
                <w:noProof/>
                <w:webHidden/>
              </w:rPr>
              <w:fldChar w:fldCharType="end"/>
            </w:r>
          </w:hyperlink>
        </w:p>
        <w:p w14:paraId="4BD073C5" w14:textId="77777777" w:rsidR="00BD5CB7" w:rsidRPr="00BD5CB7" w:rsidRDefault="00D86988">
          <w:pPr>
            <w:pStyle w:val="TOC1"/>
            <w:tabs>
              <w:tab w:val="right" w:leader="dot" w:pos="9010"/>
            </w:tabs>
            <w:rPr>
              <w:rFonts w:ascii="Times New Roman" w:eastAsiaTheme="minorEastAsia" w:hAnsi="Times New Roman" w:cs="Times New Roman"/>
              <w:b w:val="0"/>
              <w:bCs w:val="0"/>
              <w:caps w:val="0"/>
              <w:noProof/>
              <w:sz w:val="24"/>
              <w:szCs w:val="24"/>
            </w:rPr>
          </w:pPr>
          <w:hyperlink w:anchor="_Toc449554428" w:history="1">
            <w:r w:rsidR="00BD5CB7" w:rsidRPr="00BD5CB7">
              <w:rPr>
                <w:rStyle w:val="Hyperlink"/>
                <w:rFonts w:ascii="Times New Roman" w:hAnsi="Times New Roman" w:cs="Times New Roman"/>
                <w:noProof/>
              </w:rPr>
              <w:t>VI Comparative Jurisprudence</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_Toc449554428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32</w:t>
            </w:r>
            <w:r w:rsidR="00BD5CB7" w:rsidRPr="00BD5CB7">
              <w:rPr>
                <w:rFonts w:ascii="Times New Roman" w:hAnsi="Times New Roman" w:cs="Times New Roman"/>
                <w:noProof/>
                <w:webHidden/>
              </w:rPr>
              <w:fldChar w:fldCharType="end"/>
            </w:r>
          </w:hyperlink>
        </w:p>
        <w:p w14:paraId="16F61B18" w14:textId="77777777" w:rsidR="00BD5CB7" w:rsidRPr="00BD5CB7" w:rsidRDefault="00D86988">
          <w:pPr>
            <w:pStyle w:val="TOC2"/>
            <w:tabs>
              <w:tab w:val="right" w:leader="dot" w:pos="9010"/>
            </w:tabs>
            <w:rPr>
              <w:rFonts w:ascii="Times New Roman" w:eastAsiaTheme="minorEastAsia" w:hAnsi="Times New Roman" w:cs="Times New Roman"/>
              <w:smallCaps w:val="0"/>
              <w:noProof/>
              <w:sz w:val="24"/>
              <w:szCs w:val="24"/>
            </w:rPr>
          </w:pPr>
          <w:hyperlink w:anchor="_Toc449554429" w:history="1">
            <w:r w:rsidR="00BD5CB7" w:rsidRPr="00BD5CB7">
              <w:rPr>
                <w:rStyle w:val="Hyperlink"/>
                <w:rFonts w:ascii="Times New Roman" w:hAnsi="Times New Roman" w:cs="Times New Roman"/>
                <w:noProof/>
              </w:rPr>
              <w:t>A Introduction</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_Toc449554429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32</w:t>
            </w:r>
            <w:r w:rsidR="00BD5CB7" w:rsidRPr="00BD5CB7">
              <w:rPr>
                <w:rFonts w:ascii="Times New Roman" w:hAnsi="Times New Roman" w:cs="Times New Roman"/>
                <w:noProof/>
                <w:webHidden/>
              </w:rPr>
              <w:fldChar w:fldCharType="end"/>
            </w:r>
          </w:hyperlink>
        </w:p>
        <w:p w14:paraId="7A7A28FA" w14:textId="77777777" w:rsidR="00BD5CB7" w:rsidRPr="00BD5CB7" w:rsidRDefault="00D86988">
          <w:pPr>
            <w:pStyle w:val="TOC2"/>
            <w:tabs>
              <w:tab w:val="right" w:leader="dot" w:pos="9010"/>
            </w:tabs>
            <w:rPr>
              <w:rFonts w:ascii="Times New Roman" w:eastAsiaTheme="minorEastAsia" w:hAnsi="Times New Roman" w:cs="Times New Roman"/>
              <w:smallCaps w:val="0"/>
              <w:noProof/>
              <w:sz w:val="24"/>
              <w:szCs w:val="24"/>
            </w:rPr>
          </w:pPr>
          <w:hyperlink w:anchor="_Toc449554430" w:history="1">
            <w:r w:rsidR="00BD5CB7" w:rsidRPr="00BD5CB7">
              <w:rPr>
                <w:rStyle w:val="Hyperlink"/>
                <w:rFonts w:ascii="Times New Roman" w:hAnsi="Times New Roman" w:cs="Times New Roman"/>
                <w:noProof/>
              </w:rPr>
              <w:t>B Relevant Jurisdictions</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_Toc449554430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32</w:t>
            </w:r>
            <w:r w:rsidR="00BD5CB7" w:rsidRPr="00BD5CB7">
              <w:rPr>
                <w:rFonts w:ascii="Times New Roman" w:hAnsi="Times New Roman" w:cs="Times New Roman"/>
                <w:noProof/>
                <w:webHidden/>
              </w:rPr>
              <w:fldChar w:fldCharType="end"/>
            </w:r>
          </w:hyperlink>
        </w:p>
        <w:p w14:paraId="3B83070A" w14:textId="77777777" w:rsidR="00BD5CB7" w:rsidRPr="00BD5CB7" w:rsidRDefault="00D86988">
          <w:pPr>
            <w:pStyle w:val="TOC2"/>
            <w:tabs>
              <w:tab w:val="right" w:leader="dot" w:pos="9010"/>
            </w:tabs>
            <w:rPr>
              <w:rFonts w:ascii="Times New Roman" w:eastAsiaTheme="minorEastAsia" w:hAnsi="Times New Roman" w:cs="Times New Roman"/>
              <w:smallCaps w:val="0"/>
              <w:noProof/>
              <w:sz w:val="24"/>
              <w:szCs w:val="24"/>
            </w:rPr>
          </w:pPr>
          <w:hyperlink w:anchor="_Toc449554431" w:history="1">
            <w:r w:rsidR="00BD5CB7" w:rsidRPr="00BD5CB7">
              <w:rPr>
                <w:rStyle w:val="Hyperlink"/>
                <w:rFonts w:ascii="Times New Roman" w:hAnsi="Times New Roman" w:cs="Times New Roman"/>
                <w:noProof/>
              </w:rPr>
              <w:t>C US Supreme Court Jurisprudence</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_Toc449554431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36</w:t>
            </w:r>
            <w:r w:rsidR="00BD5CB7" w:rsidRPr="00BD5CB7">
              <w:rPr>
                <w:rFonts w:ascii="Times New Roman" w:hAnsi="Times New Roman" w:cs="Times New Roman"/>
                <w:noProof/>
                <w:webHidden/>
              </w:rPr>
              <w:fldChar w:fldCharType="end"/>
            </w:r>
          </w:hyperlink>
        </w:p>
        <w:p w14:paraId="2CB1ED2A" w14:textId="77777777" w:rsidR="00BD5CB7" w:rsidRPr="00BD5CB7" w:rsidRDefault="00D86988">
          <w:pPr>
            <w:pStyle w:val="TOC1"/>
            <w:tabs>
              <w:tab w:val="right" w:leader="dot" w:pos="9010"/>
            </w:tabs>
            <w:rPr>
              <w:rFonts w:ascii="Times New Roman" w:eastAsiaTheme="minorEastAsia" w:hAnsi="Times New Roman" w:cs="Times New Roman"/>
              <w:b w:val="0"/>
              <w:bCs w:val="0"/>
              <w:caps w:val="0"/>
              <w:noProof/>
              <w:sz w:val="24"/>
              <w:szCs w:val="24"/>
            </w:rPr>
          </w:pPr>
          <w:hyperlink w:anchor="_Toc449554432" w:history="1">
            <w:r w:rsidR="00BD5CB7" w:rsidRPr="00BD5CB7">
              <w:rPr>
                <w:rStyle w:val="Hyperlink"/>
                <w:rFonts w:ascii="Times New Roman" w:hAnsi="Times New Roman" w:cs="Times New Roman"/>
                <w:noProof/>
              </w:rPr>
              <w:t>VII Constitutional Validity of the Zone Tax Offset</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_Toc449554432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37</w:t>
            </w:r>
            <w:r w:rsidR="00BD5CB7" w:rsidRPr="00BD5CB7">
              <w:rPr>
                <w:rFonts w:ascii="Times New Roman" w:hAnsi="Times New Roman" w:cs="Times New Roman"/>
                <w:noProof/>
                <w:webHidden/>
              </w:rPr>
              <w:fldChar w:fldCharType="end"/>
            </w:r>
          </w:hyperlink>
        </w:p>
        <w:p w14:paraId="40E438A1" w14:textId="77777777" w:rsidR="00BD5CB7" w:rsidRPr="00BD5CB7" w:rsidRDefault="00D86988">
          <w:pPr>
            <w:pStyle w:val="TOC2"/>
            <w:tabs>
              <w:tab w:val="right" w:leader="dot" w:pos="9010"/>
            </w:tabs>
            <w:rPr>
              <w:rFonts w:ascii="Times New Roman" w:eastAsiaTheme="minorEastAsia" w:hAnsi="Times New Roman" w:cs="Times New Roman"/>
              <w:smallCaps w:val="0"/>
              <w:noProof/>
              <w:sz w:val="24"/>
              <w:szCs w:val="24"/>
            </w:rPr>
          </w:pPr>
          <w:hyperlink w:anchor="_Toc449554433" w:history="1">
            <w:r w:rsidR="00BD5CB7" w:rsidRPr="00BD5CB7">
              <w:rPr>
                <w:rStyle w:val="Hyperlink"/>
                <w:rFonts w:ascii="Times New Roman" w:hAnsi="Times New Roman" w:cs="Times New Roman"/>
                <w:noProof/>
              </w:rPr>
              <w:t>A Introduction</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_Toc449554433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37</w:t>
            </w:r>
            <w:r w:rsidR="00BD5CB7" w:rsidRPr="00BD5CB7">
              <w:rPr>
                <w:rFonts w:ascii="Times New Roman" w:hAnsi="Times New Roman" w:cs="Times New Roman"/>
                <w:noProof/>
                <w:webHidden/>
              </w:rPr>
              <w:fldChar w:fldCharType="end"/>
            </w:r>
          </w:hyperlink>
        </w:p>
        <w:p w14:paraId="0E5D4033" w14:textId="77777777" w:rsidR="00BD5CB7" w:rsidRPr="00BD5CB7" w:rsidRDefault="00D86988">
          <w:pPr>
            <w:pStyle w:val="TOC2"/>
            <w:tabs>
              <w:tab w:val="right" w:leader="dot" w:pos="9010"/>
            </w:tabs>
            <w:rPr>
              <w:rFonts w:ascii="Times New Roman" w:eastAsiaTheme="minorEastAsia" w:hAnsi="Times New Roman" w:cs="Times New Roman"/>
              <w:smallCaps w:val="0"/>
              <w:noProof/>
              <w:sz w:val="24"/>
              <w:szCs w:val="24"/>
            </w:rPr>
          </w:pPr>
          <w:hyperlink w:anchor="_Toc449554434" w:history="1">
            <w:r w:rsidR="00BD5CB7" w:rsidRPr="00BD5CB7">
              <w:rPr>
                <w:rStyle w:val="Hyperlink"/>
                <w:rFonts w:ascii="Times New Roman" w:hAnsi="Times New Roman" w:cs="Times New Roman"/>
                <w:noProof/>
              </w:rPr>
              <w:t>B Differential Treatment</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_Toc449554434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38</w:t>
            </w:r>
            <w:r w:rsidR="00BD5CB7" w:rsidRPr="00BD5CB7">
              <w:rPr>
                <w:rFonts w:ascii="Times New Roman" w:hAnsi="Times New Roman" w:cs="Times New Roman"/>
                <w:noProof/>
                <w:webHidden/>
              </w:rPr>
              <w:fldChar w:fldCharType="end"/>
            </w:r>
          </w:hyperlink>
        </w:p>
        <w:p w14:paraId="2A74917C" w14:textId="77777777" w:rsidR="00BD5CB7" w:rsidRPr="00BD5CB7" w:rsidRDefault="00D86988">
          <w:pPr>
            <w:pStyle w:val="TOC2"/>
            <w:tabs>
              <w:tab w:val="right" w:leader="dot" w:pos="9010"/>
            </w:tabs>
            <w:rPr>
              <w:rFonts w:ascii="Times New Roman" w:eastAsiaTheme="minorEastAsia" w:hAnsi="Times New Roman" w:cs="Times New Roman"/>
              <w:smallCaps w:val="0"/>
              <w:noProof/>
              <w:sz w:val="24"/>
              <w:szCs w:val="24"/>
            </w:rPr>
          </w:pPr>
          <w:hyperlink w:anchor="_Toc449554435" w:history="1">
            <w:r w:rsidR="00BD5CB7" w:rsidRPr="00BD5CB7">
              <w:rPr>
                <w:rStyle w:val="Hyperlink"/>
                <w:rFonts w:ascii="Times New Roman" w:hAnsi="Times New Roman" w:cs="Times New Roman"/>
                <w:noProof/>
              </w:rPr>
              <w:t>C Proper Objectives</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_Toc449554435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41</w:t>
            </w:r>
            <w:r w:rsidR="00BD5CB7" w:rsidRPr="00BD5CB7">
              <w:rPr>
                <w:rFonts w:ascii="Times New Roman" w:hAnsi="Times New Roman" w:cs="Times New Roman"/>
                <w:noProof/>
                <w:webHidden/>
              </w:rPr>
              <w:fldChar w:fldCharType="end"/>
            </w:r>
          </w:hyperlink>
        </w:p>
        <w:p w14:paraId="54FE1B49" w14:textId="77777777" w:rsidR="00BD5CB7" w:rsidRPr="00BD5CB7" w:rsidRDefault="00D86988">
          <w:pPr>
            <w:pStyle w:val="TOC2"/>
            <w:tabs>
              <w:tab w:val="right" w:leader="dot" w:pos="9010"/>
            </w:tabs>
            <w:rPr>
              <w:rFonts w:ascii="Times New Roman" w:eastAsiaTheme="minorEastAsia" w:hAnsi="Times New Roman" w:cs="Times New Roman"/>
              <w:smallCaps w:val="0"/>
              <w:noProof/>
              <w:sz w:val="24"/>
              <w:szCs w:val="24"/>
            </w:rPr>
          </w:pPr>
          <w:hyperlink w:anchor="_Toc449554436" w:history="1">
            <w:r w:rsidR="00BD5CB7" w:rsidRPr="00BD5CB7">
              <w:rPr>
                <w:rStyle w:val="Hyperlink"/>
                <w:rFonts w:ascii="Times New Roman" w:hAnsi="Times New Roman" w:cs="Times New Roman"/>
                <w:noProof/>
              </w:rPr>
              <w:t>D Appropriate and Adapted (Proportionality)</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_Toc449554436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47</w:t>
            </w:r>
            <w:r w:rsidR="00BD5CB7" w:rsidRPr="00BD5CB7">
              <w:rPr>
                <w:rFonts w:ascii="Times New Roman" w:hAnsi="Times New Roman" w:cs="Times New Roman"/>
                <w:noProof/>
                <w:webHidden/>
              </w:rPr>
              <w:fldChar w:fldCharType="end"/>
            </w:r>
          </w:hyperlink>
        </w:p>
        <w:p w14:paraId="3369A62C" w14:textId="77777777" w:rsidR="00BD5CB7" w:rsidRPr="00BD5CB7" w:rsidRDefault="00D86988">
          <w:pPr>
            <w:pStyle w:val="TOC2"/>
            <w:tabs>
              <w:tab w:val="right" w:leader="dot" w:pos="9010"/>
            </w:tabs>
            <w:rPr>
              <w:rFonts w:ascii="Times New Roman" w:eastAsiaTheme="minorEastAsia" w:hAnsi="Times New Roman" w:cs="Times New Roman"/>
              <w:smallCaps w:val="0"/>
              <w:noProof/>
              <w:sz w:val="24"/>
              <w:szCs w:val="24"/>
            </w:rPr>
          </w:pPr>
          <w:hyperlink w:anchor="_Toc449554437" w:history="1">
            <w:r w:rsidR="00BD5CB7" w:rsidRPr="00BD5CB7">
              <w:rPr>
                <w:rStyle w:val="Hyperlink"/>
                <w:rFonts w:ascii="Times New Roman" w:hAnsi="Times New Roman" w:cs="Times New Roman"/>
                <w:noProof/>
              </w:rPr>
              <w:t>E Conclusion</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_Toc449554437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56</w:t>
            </w:r>
            <w:r w:rsidR="00BD5CB7" w:rsidRPr="00BD5CB7">
              <w:rPr>
                <w:rFonts w:ascii="Times New Roman" w:hAnsi="Times New Roman" w:cs="Times New Roman"/>
                <w:noProof/>
                <w:webHidden/>
              </w:rPr>
              <w:fldChar w:fldCharType="end"/>
            </w:r>
          </w:hyperlink>
        </w:p>
        <w:p w14:paraId="7718B9FA" w14:textId="77777777" w:rsidR="00BD5CB7" w:rsidRPr="00BD5CB7" w:rsidRDefault="00D86988">
          <w:pPr>
            <w:pStyle w:val="TOC1"/>
            <w:tabs>
              <w:tab w:val="right" w:leader="dot" w:pos="9010"/>
            </w:tabs>
            <w:rPr>
              <w:rFonts w:ascii="Times New Roman" w:eastAsiaTheme="minorEastAsia" w:hAnsi="Times New Roman" w:cs="Times New Roman"/>
              <w:b w:val="0"/>
              <w:bCs w:val="0"/>
              <w:caps w:val="0"/>
              <w:noProof/>
              <w:sz w:val="24"/>
              <w:szCs w:val="24"/>
            </w:rPr>
          </w:pPr>
          <w:hyperlink w:anchor="_Toc449554438" w:history="1">
            <w:r w:rsidR="00BD5CB7" w:rsidRPr="00BD5CB7">
              <w:rPr>
                <w:rStyle w:val="Hyperlink"/>
                <w:rFonts w:ascii="Times New Roman" w:hAnsi="Times New Roman" w:cs="Times New Roman"/>
                <w:noProof/>
              </w:rPr>
              <w:t>VIII Conclusion</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_Toc449554438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56</w:t>
            </w:r>
            <w:r w:rsidR="00BD5CB7" w:rsidRPr="00BD5CB7">
              <w:rPr>
                <w:rFonts w:ascii="Times New Roman" w:hAnsi="Times New Roman" w:cs="Times New Roman"/>
                <w:noProof/>
                <w:webHidden/>
              </w:rPr>
              <w:fldChar w:fldCharType="end"/>
            </w:r>
          </w:hyperlink>
        </w:p>
        <w:p w14:paraId="0AA39D6A" w14:textId="77777777" w:rsidR="00BD5CB7" w:rsidRPr="00BD5CB7" w:rsidRDefault="00D86988">
          <w:pPr>
            <w:pStyle w:val="TOC1"/>
            <w:tabs>
              <w:tab w:val="right" w:leader="dot" w:pos="9010"/>
            </w:tabs>
            <w:rPr>
              <w:rFonts w:ascii="Times New Roman" w:eastAsiaTheme="minorEastAsia" w:hAnsi="Times New Roman" w:cs="Times New Roman"/>
              <w:b w:val="0"/>
              <w:bCs w:val="0"/>
              <w:caps w:val="0"/>
              <w:noProof/>
              <w:sz w:val="24"/>
              <w:szCs w:val="24"/>
            </w:rPr>
          </w:pPr>
          <w:hyperlink w:anchor="_Toc449554439" w:history="1">
            <w:r w:rsidR="00BD5CB7" w:rsidRPr="00BD5CB7">
              <w:rPr>
                <w:rStyle w:val="Hyperlink"/>
                <w:rFonts w:ascii="Times New Roman" w:hAnsi="Times New Roman" w:cs="Times New Roman"/>
                <w:noProof/>
              </w:rPr>
              <w:t>Bibliography</w:t>
            </w:r>
            <w:r w:rsidR="00BD5CB7" w:rsidRPr="00BD5CB7">
              <w:rPr>
                <w:rFonts w:ascii="Times New Roman" w:hAnsi="Times New Roman" w:cs="Times New Roman"/>
                <w:noProof/>
                <w:webHidden/>
              </w:rPr>
              <w:tab/>
            </w:r>
            <w:r w:rsidR="00BD5CB7" w:rsidRPr="00BD5CB7">
              <w:rPr>
                <w:rFonts w:ascii="Times New Roman" w:hAnsi="Times New Roman" w:cs="Times New Roman"/>
                <w:noProof/>
                <w:webHidden/>
              </w:rPr>
              <w:fldChar w:fldCharType="begin"/>
            </w:r>
            <w:r w:rsidR="00BD5CB7" w:rsidRPr="00BD5CB7">
              <w:rPr>
                <w:rFonts w:ascii="Times New Roman" w:hAnsi="Times New Roman" w:cs="Times New Roman"/>
                <w:noProof/>
                <w:webHidden/>
              </w:rPr>
              <w:instrText xml:space="preserve"> PAGEREF _Toc449554439 \h </w:instrText>
            </w:r>
            <w:r w:rsidR="00BD5CB7" w:rsidRPr="00BD5CB7">
              <w:rPr>
                <w:rFonts w:ascii="Times New Roman" w:hAnsi="Times New Roman" w:cs="Times New Roman"/>
                <w:noProof/>
                <w:webHidden/>
              </w:rPr>
            </w:r>
            <w:r w:rsidR="00BD5CB7" w:rsidRPr="00BD5CB7">
              <w:rPr>
                <w:rFonts w:ascii="Times New Roman" w:hAnsi="Times New Roman" w:cs="Times New Roman"/>
                <w:noProof/>
                <w:webHidden/>
              </w:rPr>
              <w:fldChar w:fldCharType="separate"/>
            </w:r>
            <w:r w:rsidR="00CF77FC">
              <w:rPr>
                <w:rFonts w:ascii="Times New Roman" w:hAnsi="Times New Roman" w:cs="Times New Roman"/>
                <w:noProof/>
                <w:webHidden/>
              </w:rPr>
              <w:t>58</w:t>
            </w:r>
            <w:r w:rsidR="00BD5CB7" w:rsidRPr="00BD5CB7">
              <w:rPr>
                <w:rFonts w:ascii="Times New Roman" w:hAnsi="Times New Roman" w:cs="Times New Roman"/>
                <w:noProof/>
                <w:webHidden/>
              </w:rPr>
              <w:fldChar w:fldCharType="end"/>
            </w:r>
          </w:hyperlink>
        </w:p>
        <w:p w14:paraId="1BA2022A" w14:textId="45BE7C93" w:rsidR="008E4B6C" w:rsidRPr="008E4B6C" w:rsidRDefault="008E4B6C">
          <w:pPr>
            <w:rPr>
              <w:rFonts w:cs="Times New Roman"/>
            </w:rPr>
          </w:pPr>
          <w:r w:rsidRPr="00BD5CB7">
            <w:rPr>
              <w:rFonts w:cs="Times New Roman"/>
              <w:b/>
              <w:bCs/>
              <w:noProof/>
            </w:rPr>
            <w:fldChar w:fldCharType="end"/>
          </w:r>
        </w:p>
      </w:sdtContent>
    </w:sdt>
    <w:p w14:paraId="327AA1C0" w14:textId="77777777" w:rsidR="007016B1" w:rsidRPr="008E4B6C" w:rsidRDefault="007016B1" w:rsidP="007016B1">
      <w:pPr>
        <w:pStyle w:val="Title"/>
        <w:jc w:val="left"/>
        <w:rPr>
          <w:rFonts w:cs="Times New Roman"/>
          <w:lang w:val="en-AU"/>
        </w:rPr>
      </w:pPr>
    </w:p>
    <w:p w14:paraId="6DF98171" w14:textId="77777777" w:rsidR="007016B1" w:rsidRPr="008E4B6C" w:rsidRDefault="007016B1">
      <w:pPr>
        <w:rPr>
          <w:rFonts w:eastAsiaTheme="majorEastAsia" w:cs="Times New Roman"/>
          <w:b/>
          <w:bCs/>
          <w:caps/>
          <w:spacing w:val="-10"/>
          <w:kern w:val="28"/>
          <w:lang w:val="en-AU"/>
        </w:rPr>
      </w:pPr>
      <w:r w:rsidRPr="008E4B6C">
        <w:rPr>
          <w:rFonts w:cs="Times New Roman"/>
          <w:lang w:val="en-AU"/>
        </w:rPr>
        <w:br w:type="page"/>
      </w:r>
    </w:p>
    <w:p w14:paraId="2AB70BEE" w14:textId="259C085C" w:rsidR="00C12638" w:rsidRDefault="00B31F4F" w:rsidP="00B31F4F">
      <w:pPr>
        <w:pStyle w:val="Title"/>
        <w:rPr>
          <w:lang w:val="en-AU"/>
        </w:rPr>
      </w:pPr>
      <w:r>
        <w:rPr>
          <w:lang w:val="en-AU"/>
        </w:rPr>
        <w:lastRenderedPageBreak/>
        <w:t>a critical analysis of whether the zone tax offset contravenes the australian constitutional prohibition on taxes that discriminate between states or parts of states</w:t>
      </w:r>
    </w:p>
    <w:p w14:paraId="4B517EE1" w14:textId="77777777" w:rsidR="00B31F4F" w:rsidRDefault="00B31F4F" w:rsidP="00B31F4F">
      <w:pPr>
        <w:rPr>
          <w:lang w:val="en-AU"/>
        </w:rPr>
      </w:pPr>
    </w:p>
    <w:p w14:paraId="107D5A47" w14:textId="77777777" w:rsidR="00B31F4F" w:rsidRDefault="00B31F4F" w:rsidP="007016B1">
      <w:pPr>
        <w:pStyle w:val="Heading1"/>
        <w:spacing w:line="480" w:lineRule="auto"/>
        <w:rPr>
          <w:lang w:val="en-AU"/>
        </w:rPr>
      </w:pPr>
      <w:bookmarkStart w:id="0" w:name="_Toc449554415"/>
      <w:r>
        <w:rPr>
          <w:lang w:val="en-AU"/>
        </w:rPr>
        <w:t>I Introduction</w:t>
      </w:r>
      <w:bookmarkEnd w:id="0"/>
    </w:p>
    <w:p w14:paraId="2CC28EA0" w14:textId="1F37777D" w:rsidR="00C62088" w:rsidRDefault="00010448" w:rsidP="007016B1">
      <w:pPr>
        <w:spacing w:line="480" w:lineRule="auto"/>
      </w:pPr>
      <w:r>
        <w:tab/>
      </w:r>
      <w:r w:rsidR="004950AB">
        <w:t>Undeterred by</w:t>
      </w:r>
      <w:r>
        <w:t xml:space="preserve"> </w:t>
      </w:r>
      <w:r w:rsidR="00800695">
        <w:t>the</w:t>
      </w:r>
      <w:r>
        <w:t xml:space="preserve"> prohibition </w:t>
      </w:r>
      <w:r w:rsidR="00800695">
        <w:t xml:space="preserve">contained </w:t>
      </w:r>
      <w:r w:rsidR="007E2B8D">
        <w:t>in</w:t>
      </w:r>
      <w:r w:rsidR="00800695">
        <w:t xml:space="preserve"> section 51(ii) of</w:t>
      </w:r>
      <w:r w:rsidR="007E2B8D">
        <w:t xml:space="preserve"> the </w:t>
      </w:r>
      <w:r w:rsidR="007E2B8D" w:rsidRPr="006625AD">
        <w:rPr>
          <w:i/>
        </w:rPr>
        <w:t>Australian</w:t>
      </w:r>
      <w:r w:rsidR="007E2B8D">
        <w:t xml:space="preserve"> </w:t>
      </w:r>
      <w:r w:rsidR="007E2B8D">
        <w:rPr>
          <w:i/>
        </w:rPr>
        <w:t xml:space="preserve">Constitution </w:t>
      </w:r>
      <w:r w:rsidR="00E25C56">
        <w:t xml:space="preserve">requiring Commonwealth taxation </w:t>
      </w:r>
      <w:r w:rsidR="003D689F">
        <w:t>laws</w:t>
      </w:r>
      <w:r w:rsidR="00E25C56">
        <w:t xml:space="preserve"> ‘not to discriminate between States or parts of States’,</w:t>
      </w:r>
      <w:r w:rsidR="00954E35">
        <w:rPr>
          <w:rStyle w:val="FootnoteReference"/>
        </w:rPr>
        <w:footnoteReference w:id="1"/>
      </w:r>
      <w:r w:rsidR="00E25C56">
        <w:t xml:space="preserve"> </w:t>
      </w:r>
      <w:r w:rsidR="004950AB">
        <w:t xml:space="preserve">the </w:t>
      </w:r>
      <w:r w:rsidR="00954E35">
        <w:t xml:space="preserve">Commonwealth </w:t>
      </w:r>
      <w:r w:rsidR="004950AB">
        <w:t xml:space="preserve">Parliament amended </w:t>
      </w:r>
      <w:r w:rsidR="00954E35">
        <w:t>income tax legislation</w:t>
      </w:r>
      <w:r w:rsidR="005A45FA">
        <w:t xml:space="preserve"> </w:t>
      </w:r>
      <w:r w:rsidR="00E41857">
        <w:t xml:space="preserve">in 1945 </w:t>
      </w:r>
      <w:r w:rsidR="004950AB">
        <w:t>to</w:t>
      </w:r>
      <w:r w:rsidR="00E37AF5">
        <w:t xml:space="preserve"> grant</w:t>
      </w:r>
      <w:r w:rsidR="00F304ED">
        <w:t xml:space="preserve"> </w:t>
      </w:r>
      <w:r w:rsidR="00305E22">
        <w:t>a concession</w:t>
      </w:r>
      <w:r w:rsidR="00BF0AED">
        <w:t>, now called the zone tax offset,</w:t>
      </w:r>
      <w:r w:rsidR="00C20F71">
        <w:t xml:space="preserve"> </w:t>
      </w:r>
      <w:r w:rsidR="00DA4388">
        <w:t>to individuals who r</w:t>
      </w:r>
      <w:r w:rsidR="00DC7560">
        <w:t xml:space="preserve">eside in </w:t>
      </w:r>
      <w:r w:rsidR="003D689F">
        <w:t>certain</w:t>
      </w:r>
      <w:r w:rsidR="007C659E">
        <w:t xml:space="preserve"> </w:t>
      </w:r>
      <w:r w:rsidR="00DC7560">
        <w:t xml:space="preserve">geographically </w:t>
      </w:r>
      <w:r w:rsidR="001320A9">
        <w:t>specified zones</w:t>
      </w:r>
      <w:r w:rsidR="00FE1C3F">
        <w:t>.</w:t>
      </w:r>
      <w:r w:rsidR="00FE1C3F">
        <w:rPr>
          <w:rStyle w:val="FootnoteReference"/>
        </w:rPr>
        <w:footnoteReference w:id="2"/>
      </w:r>
      <w:r w:rsidR="00A053EF">
        <w:t xml:space="preserve"> These zones are </w:t>
      </w:r>
      <w:r w:rsidR="00BD64D8">
        <w:t xml:space="preserve">not coterminous with state and territory </w:t>
      </w:r>
      <w:r w:rsidR="00A523AD">
        <w:t>borders</w:t>
      </w:r>
      <w:r w:rsidR="00BD64D8">
        <w:t xml:space="preserve"> and </w:t>
      </w:r>
      <w:r w:rsidR="00834D1F">
        <w:t>progressively</w:t>
      </w:r>
      <w:r w:rsidR="004950AB">
        <w:t xml:space="preserve"> favour</w:t>
      </w:r>
      <w:r w:rsidR="00BD64D8">
        <w:t xml:space="preserve"> </w:t>
      </w:r>
      <w:r w:rsidR="004950AB">
        <w:t xml:space="preserve">the </w:t>
      </w:r>
      <w:r w:rsidR="00E41857">
        <w:t xml:space="preserve">more remote </w:t>
      </w:r>
      <w:r w:rsidR="00C04B93">
        <w:t xml:space="preserve">areas of Australia. </w:t>
      </w:r>
      <w:r w:rsidR="004950AB">
        <w:t xml:space="preserve">While this zone tax offset might </w:t>
      </w:r>
      <w:r w:rsidR="00790569">
        <w:rPr>
          <w:i/>
        </w:rPr>
        <w:t xml:space="preserve">prima facie </w:t>
      </w:r>
      <w:r w:rsidR="004950AB">
        <w:t xml:space="preserve">appear </w:t>
      </w:r>
      <w:r w:rsidR="00042B9D">
        <w:t>to discriminate between parts of states</w:t>
      </w:r>
      <w:r w:rsidR="00E37AF5">
        <w:t>,</w:t>
      </w:r>
      <w:r w:rsidR="003D689F">
        <w:t xml:space="preserve"> </w:t>
      </w:r>
      <w:r w:rsidR="00E37AF5">
        <w:t>its constitutional validity</w:t>
      </w:r>
      <w:r w:rsidR="004950AB">
        <w:t xml:space="preserve"> has never been conclusively de</w:t>
      </w:r>
      <w:r w:rsidR="003D689F">
        <w:t>termined by an Australian court.</w:t>
      </w:r>
    </w:p>
    <w:p w14:paraId="7DB33BF5" w14:textId="57B8A1BC" w:rsidR="00E11F53" w:rsidRPr="00C1126C" w:rsidRDefault="00D4041E" w:rsidP="007016B1">
      <w:pPr>
        <w:spacing w:line="480" w:lineRule="auto"/>
      </w:pPr>
      <w:r>
        <w:tab/>
      </w:r>
      <w:r w:rsidR="00D26A65">
        <w:t>Traditionally</w:t>
      </w:r>
      <w:r>
        <w:t xml:space="preserve">, the discrimination prohibition </w:t>
      </w:r>
      <w:r w:rsidR="00BF332A">
        <w:t>has</w:t>
      </w:r>
      <w:r w:rsidR="00E41857">
        <w:t xml:space="preserve"> </w:t>
      </w:r>
      <w:r w:rsidR="00DB3B8C">
        <w:t>been understood as</w:t>
      </w:r>
      <w:r>
        <w:t xml:space="preserve"> </w:t>
      </w:r>
      <w:r w:rsidR="00DB3B8C">
        <w:t>requiring</w:t>
      </w:r>
      <w:r>
        <w:t xml:space="preserve"> </w:t>
      </w:r>
      <w:r w:rsidR="00D77433">
        <w:t xml:space="preserve">the provisions of taxation laws to be </w:t>
      </w:r>
      <w:r w:rsidR="00633A1C">
        <w:t>geographical</w:t>
      </w:r>
      <w:r w:rsidR="00446810">
        <w:t>ly uniform</w:t>
      </w:r>
      <w:r w:rsidR="00633A1C">
        <w:t>. T</w:t>
      </w:r>
      <w:r>
        <w:t xml:space="preserve">axation laws would ‘discriminate’ for the purposes of the </w:t>
      </w:r>
      <w:r>
        <w:rPr>
          <w:i/>
        </w:rPr>
        <w:t xml:space="preserve">Constitution </w:t>
      </w:r>
      <w:r>
        <w:t xml:space="preserve">if </w:t>
      </w:r>
      <w:r w:rsidR="00EF7A9B">
        <w:t>their terms</w:t>
      </w:r>
      <w:r>
        <w:t xml:space="preserve"> </w:t>
      </w:r>
      <w:r w:rsidR="00800695">
        <w:t>‘</w:t>
      </w:r>
      <w:r w:rsidR="00AD3348" w:rsidRPr="00AD3348">
        <w:t>provided for the application of different rules according to locality</w:t>
      </w:r>
      <w:r>
        <w:t>.</w:t>
      </w:r>
      <w:r w:rsidR="00800695">
        <w:t>’</w:t>
      </w:r>
      <w:r w:rsidR="00800695">
        <w:rPr>
          <w:rStyle w:val="FootnoteReference"/>
        </w:rPr>
        <w:footnoteReference w:id="3"/>
      </w:r>
      <w:r>
        <w:t xml:space="preserve"> </w:t>
      </w:r>
      <w:r w:rsidR="00C1126C">
        <w:t xml:space="preserve">In the most recent decision of the High Court of Australia on the prohibition, </w:t>
      </w:r>
      <w:r w:rsidR="000D6B47">
        <w:rPr>
          <w:i/>
        </w:rPr>
        <w:t>Fortescue Metals Group Ltd v Commonwealth</w:t>
      </w:r>
      <w:r w:rsidR="000F4697">
        <w:t xml:space="preserve">, the plurality judgment of Hayne, Bell and Keane JJ adhered to </w:t>
      </w:r>
      <w:r w:rsidR="005B45A8">
        <w:t>that</w:t>
      </w:r>
      <w:r w:rsidR="00C1126C">
        <w:t xml:space="preserve"> orthodox interpretation.</w:t>
      </w:r>
      <w:r w:rsidR="00D77433">
        <w:rPr>
          <w:rStyle w:val="FootnoteReference"/>
        </w:rPr>
        <w:footnoteReference w:id="4"/>
      </w:r>
      <w:r w:rsidR="00C1126C">
        <w:t xml:space="preserve"> In contrast, </w:t>
      </w:r>
      <w:r w:rsidR="000F4697">
        <w:t xml:space="preserve">French CJ </w:t>
      </w:r>
      <w:r w:rsidR="00AD3348">
        <w:t>formulated</w:t>
      </w:r>
      <w:r w:rsidR="000F4697">
        <w:t xml:space="preserve"> a</w:t>
      </w:r>
      <w:r w:rsidR="00AD3348">
        <w:t xml:space="preserve"> new,</w:t>
      </w:r>
      <w:r w:rsidR="000F4697">
        <w:t xml:space="preserve"> </w:t>
      </w:r>
      <w:r w:rsidR="000F4697">
        <w:rPr>
          <w:rFonts w:cs="Times New Roman"/>
          <w:lang w:val="en-AU"/>
        </w:rPr>
        <w:t>‘modern, substantive understanding of discrimination’</w:t>
      </w:r>
      <w:bookmarkStart w:id="1" w:name="_Ref445890184"/>
      <w:r w:rsidR="000F4697">
        <w:rPr>
          <w:rStyle w:val="FootnoteReference"/>
          <w:rFonts w:cs="Times New Roman"/>
          <w:lang w:val="en-AU"/>
        </w:rPr>
        <w:footnoteReference w:id="5"/>
      </w:r>
      <w:bookmarkEnd w:id="1"/>
      <w:r w:rsidR="00AD3348">
        <w:rPr>
          <w:rFonts w:cs="Times New Roman"/>
          <w:lang w:val="en-AU"/>
        </w:rPr>
        <w:t xml:space="preserve"> i</w:t>
      </w:r>
      <w:r w:rsidR="00C1126C">
        <w:rPr>
          <w:rFonts w:cs="Times New Roman"/>
          <w:lang w:val="en-AU"/>
        </w:rPr>
        <w:t>n the context of section 51(ii):</w:t>
      </w:r>
      <w:r w:rsidR="009209FA">
        <w:rPr>
          <w:rFonts w:cs="Times New Roman"/>
          <w:lang w:val="en-AU"/>
        </w:rPr>
        <w:t xml:space="preserve"> differential treatment </w:t>
      </w:r>
      <w:r w:rsidR="00C922EA">
        <w:rPr>
          <w:rFonts w:cs="Times New Roman"/>
          <w:lang w:val="en-AU"/>
        </w:rPr>
        <w:t>that is</w:t>
      </w:r>
      <w:r w:rsidR="009209FA">
        <w:rPr>
          <w:rFonts w:cs="Times New Roman"/>
          <w:lang w:val="en-AU"/>
        </w:rPr>
        <w:t xml:space="preserve"> not ‘appropriate and adapted to a proper objective.’</w:t>
      </w:r>
      <w:r w:rsidR="009209FA">
        <w:rPr>
          <w:rStyle w:val="FootnoteReference"/>
          <w:rFonts w:cs="Times New Roman"/>
          <w:lang w:val="en-AU"/>
        </w:rPr>
        <w:footnoteReference w:id="6"/>
      </w:r>
      <w:r w:rsidR="007E2B8D">
        <w:rPr>
          <w:rFonts w:cs="Times New Roman"/>
          <w:lang w:val="en-AU"/>
        </w:rPr>
        <w:t xml:space="preserve"> </w:t>
      </w:r>
      <w:r w:rsidR="00705D7B">
        <w:rPr>
          <w:rFonts w:cs="Times New Roman"/>
          <w:lang w:val="en-AU"/>
        </w:rPr>
        <w:t>Given</w:t>
      </w:r>
      <w:r w:rsidR="007E2B8D">
        <w:rPr>
          <w:rFonts w:cs="Times New Roman"/>
          <w:lang w:val="en-AU"/>
        </w:rPr>
        <w:t xml:space="preserve"> </w:t>
      </w:r>
      <w:r w:rsidR="004E689A">
        <w:rPr>
          <w:rFonts w:cs="Times New Roman"/>
          <w:lang w:val="en-AU"/>
        </w:rPr>
        <w:t>that</w:t>
      </w:r>
      <w:r w:rsidR="007E2B8D">
        <w:rPr>
          <w:rFonts w:cs="Times New Roman"/>
          <w:lang w:val="en-AU"/>
        </w:rPr>
        <w:t xml:space="preserve"> the Court </w:t>
      </w:r>
      <w:r w:rsidR="004E689A">
        <w:rPr>
          <w:rFonts w:cs="Times New Roman"/>
          <w:lang w:val="en-AU"/>
        </w:rPr>
        <w:t xml:space="preserve">agreed </w:t>
      </w:r>
      <w:r w:rsidR="008572D6">
        <w:rPr>
          <w:rFonts w:cs="Times New Roman"/>
          <w:lang w:val="en-AU"/>
        </w:rPr>
        <w:t xml:space="preserve">unanimously </w:t>
      </w:r>
      <w:r w:rsidR="004E689A">
        <w:rPr>
          <w:rFonts w:cs="Times New Roman"/>
          <w:lang w:val="en-AU"/>
        </w:rPr>
        <w:t xml:space="preserve">on the result, it </w:t>
      </w:r>
      <w:r w:rsidR="007E2B8D">
        <w:rPr>
          <w:rFonts w:cs="Times New Roman"/>
          <w:lang w:val="en-AU"/>
        </w:rPr>
        <w:t xml:space="preserve">left for </w:t>
      </w:r>
      <w:r w:rsidR="004E689A">
        <w:rPr>
          <w:rFonts w:cs="Times New Roman"/>
          <w:lang w:val="en-AU"/>
        </w:rPr>
        <w:t>another day</w:t>
      </w:r>
      <w:r w:rsidR="007E2B8D">
        <w:rPr>
          <w:rFonts w:cs="Times New Roman"/>
          <w:lang w:val="en-AU"/>
        </w:rPr>
        <w:t xml:space="preserve"> the issue of which interpretation should prevail.</w:t>
      </w:r>
      <w:r w:rsidR="00E11F53">
        <w:rPr>
          <w:rFonts w:cs="Times New Roman"/>
          <w:lang w:val="en-AU"/>
        </w:rPr>
        <w:t xml:space="preserve"> </w:t>
      </w:r>
      <w:r w:rsidR="00433C51">
        <w:rPr>
          <w:rFonts w:cs="Times New Roman"/>
          <w:lang w:val="en-AU"/>
        </w:rPr>
        <w:t xml:space="preserve">Ostensibly, the Chief Justice’s interpretation represents the only </w:t>
      </w:r>
      <w:r w:rsidR="00433C51">
        <w:rPr>
          <w:rFonts w:cs="Times New Roman"/>
          <w:lang w:val="en-AU"/>
        </w:rPr>
        <w:lastRenderedPageBreak/>
        <w:t>possible constitutional lifeline for the zone tax offse</w:t>
      </w:r>
      <w:r w:rsidR="00446810">
        <w:rPr>
          <w:rFonts w:cs="Times New Roman"/>
          <w:lang w:val="en-AU"/>
        </w:rPr>
        <w:t>t</w:t>
      </w:r>
      <w:r w:rsidR="002D7004">
        <w:rPr>
          <w:rFonts w:cs="Times New Roman"/>
          <w:lang w:val="en-AU"/>
        </w:rPr>
        <w:t>, but whether that is in fact the case has not been critically analysed</w:t>
      </w:r>
      <w:r w:rsidR="008516F7">
        <w:rPr>
          <w:rFonts w:cs="Times New Roman"/>
          <w:lang w:val="en-AU"/>
        </w:rPr>
        <w:t xml:space="preserve">. </w:t>
      </w:r>
    </w:p>
    <w:p w14:paraId="0A8F559F" w14:textId="44CDC93D" w:rsidR="00343986" w:rsidRDefault="00C922EA" w:rsidP="007016B1">
      <w:pPr>
        <w:spacing w:line="480" w:lineRule="auto"/>
        <w:ind w:firstLine="720"/>
        <w:rPr>
          <w:rFonts w:cs="Times New Roman"/>
          <w:lang w:val="en-AU"/>
        </w:rPr>
      </w:pPr>
      <w:r>
        <w:rPr>
          <w:rFonts w:cs="Times New Roman"/>
          <w:lang w:val="en-AU"/>
        </w:rPr>
        <w:t>In t</w:t>
      </w:r>
      <w:r w:rsidR="00E213FD">
        <w:rPr>
          <w:rFonts w:cs="Times New Roman"/>
          <w:lang w:val="en-AU"/>
        </w:rPr>
        <w:t xml:space="preserve">his essay </w:t>
      </w:r>
      <w:r>
        <w:rPr>
          <w:rFonts w:cs="Times New Roman"/>
          <w:lang w:val="en-AU"/>
        </w:rPr>
        <w:t xml:space="preserve">I </w:t>
      </w:r>
      <w:r w:rsidR="00181F2E">
        <w:rPr>
          <w:rFonts w:cs="Times New Roman"/>
          <w:lang w:val="en-AU"/>
        </w:rPr>
        <w:t>will</w:t>
      </w:r>
      <w:r w:rsidR="00E11F53">
        <w:rPr>
          <w:rFonts w:cs="Times New Roman"/>
          <w:lang w:val="en-AU"/>
        </w:rPr>
        <w:t xml:space="preserve"> address </w:t>
      </w:r>
      <w:r w:rsidR="00FE169D">
        <w:rPr>
          <w:rFonts w:cs="Times New Roman"/>
          <w:lang w:val="en-AU"/>
        </w:rPr>
        <w:t>that</w:t>
      </w:r>
      <w:r w:rsidR="00E11F53">
        <w:rPr>
          <w:rFonts w:cs="Times New Roman"/>
          <w:lang w:val="en-AU"/>
        </w:rPr>
        <w:t xml:space="preserve"> </w:t>
      </w:r>
      <w:r w:rsidR="008944C8">
        <w:rPr>
          <w:rFonts w:cs="Times New Roman"/>
          <w:lang w:val="en-AU"/>
        </w:rPr>
        <w:t>issue</w:t>
      </w:r>
      <w:r w:rsidR="00E11F53">
        <w:rPr>
          <w:rFonts w:cs="Times New Roman"/>
          <w:lang w:val="en-AU"/>
        </w:rPr>
        <w:t xml:space="preserve"> and </w:t>
      </w:r>
      <w:r w:rsidR="00E213FD">
        <w:rPr>
          <w:rFonts w:cs="Times New Roman"/>
          <w:lang w:val="en-AU"/>
        </w:rPr>
        <w:t xml:space="preserve">argue that the zone tax offset is constitutionally valid. </w:t>
      </w:r>
      <w:r w:rsidR="00446810">
        <w:rPr>
          <w:rFonts w:cs="Times New Roman"/>
          <w:lang w:val="en-AU"/>
        </w:rPr>
        <w:t>In Part II, I will explore the relevant constitutional and legislative background</w:t>
      </w:r>
      <w:r w:rsidR="00C003E7">
        <w:rPr>
          <w:rFonts w:cs="Times New Roman"/>
          <w:lang w:val="en-AU"/>
        </w:rPr>
        <w:t xml:space="preserve">. </w:t>
      </w:r>
      <w:r w:rsidR="006F6DDA">
        <w:rPr>
          <w:rFonts w:cs="Times New Roman"/>
          <w:lang w:val="en-AU"/>
        </w:rPr>
        <w:t xml:space="preserve">Then, </w:t>
      </w:r>
      <w:r w:rsidR="00446810">
        <w:rPr>
          <w:rFonts w:cs="Times New Roman"/>
          <w:lang w:val="en-AU"/>
        </w:rPr>
        <w:t>in Parts III-VI, I will analyse</w:t>
      </w:r>
      <w:r w:rsidR="006F6DDA">
        <w:rPr>
          <w:rFonts w:cs="Times New Roman"/>
          <w:lang w:val="en-AU"/>
        </w:rPr>
        <w:t xml:space="preserve"> the relevant explanatory materials to the </w:t>
      </w:r>
      <w:r w:rsidR="006F6DDA">
        <w:rPr>
          <w:rFonts w:cs="Times New Roman"/>
          <w:i/>
          <w:lang w:val="en-AU"/>
        </w:rPr>
        <w:t>Constitution</w:t>
      </w:r>
      <w:r w:rsidR="006F6DDA">
        <w:rPr>
          <w:rFonts w:cs="Times New Roman"/>
          <w:lang w:val="en-AU"/>
        </w:rPr>
        <w:t>, the jurisprudence regarding provisions related to section 51(ii), the jurisprudence regarding section 51(ii) itself and the jurisprudence of foreign courts regarding equivalent prohibitions</w:t>
      </w:r>
      <w:r w:rsidR="00446810">
        <w:rPr>
          <w:rFonts w:cs="Times New Roman"/>
          <w:lang w:val="en-AU"/>
        </w:rPr>
        <w:t>. These sources show that</w:t>
      </w:r>
      <w:r w:rsidR="006F6DDA">
        <w:rPr>
          <w:rFonts w:cs="Times New Roman"/>
          <w:lang w:val="en-AU"/>
        </w:rPr>
        <w:t xml:space="preserve"> section 51(ii) </w:t>
      </w:r>
      <w:r w:rsidR="00030CEC">
        <w:rPr>
          <w:rFonts w:cs="Times New Roman"/>
          <w:lang w:val="en-AU"/>
        </w:rPr>
        <w:t xml:space="preserve">operates in a more sophisticated manner than simply requiring </w:t>
      </w:r>
      <w:r w:rsidR="00446810">
        <w:rPr>
          <w:rFonts w:cs="Times New Roman"/>
          <w:lang w:val="en-AU"/>
        </w:rPr>
        <w:t xml:space="preserve">provisions of taxation laws to be </w:t>
      </w:r>
      <w:r w:rsidR="00030CEC">
        <w:rPr>
          <w:rFonts w:cs="Times New Roman"/>
          <w:lang w:val="en-AU"/>
        </w:rPr>
        <w:t>geographical</w:t>
      </w:r>
      <w:r w:rsidR="00446810">
        <w:rPr>
          <w:rFonts w:cs="Times New Roman"/>
          <w:lang w:val="en-AU"/>
        </w:rPr>
        <w:t>ly uniform</w:t>
      </w:r>
      <w:r w:rsidR="00030CEC">
        <w:rPr>
          <w:rFonts w:cs="Times New Roman"/>
          <w:lang w:val="en-AU"/>
        </w:rPr>
        <w:t xml:space="preserve">. </w:t>
      </w:r>
      <w:r w:rsidR="00D77433">
        <w:rPr>
          <w:rFonts w:cs="Times New Roman"/>
          <w:lang w:val="en-AU"/>
        </w:rPr>
        <w:t>Rather, section 51(ii)</w:t>
      </w:r>
      <w:r w:rsidR="0049483C">
        <w:rPr>
          <w:rFonts w:cs="Times New Roman"/>
          <w:lang w:val="en-AU"/>
        </w:rPr>
        <w:t xml:space="preserve"> </w:t>
      </w:r>
      <w:r w:rsidR="00D2037E">
        <w:rPr>
          <w:rFonts w:cs="Times New Roman"/>
          <w:lang w:val="en-AU"/>
        </w:rPr>
        <w:t xml:space="preserve">prohibits differential treatment of </w:t>
      </w:r>
      <w:r w:rsidR="00446810">
        <w:rPr>
          <w:rFonts w:cs="Times New Roman"/>
          <w:lang w:val="en-AU"/>
        </w:rPr>
        <w:t>persons</w:t>
      </w:r>
      <w:r w:rsidR="00CE3AAE">
        <w:rPr>
          <w:rFonts w:cs="Times New Roman"/>
          <w:lang w:val="en-AU"/>
        </w:rPr>
        <w:t>,</w:t>
      </w:r>
      <w:r w:rsidR="00D2037E">
        <w:rPr>
          <w:rFonts w:cs="Times New Roman"/>
          <w:lang w:val="en-AU"/>
        </w:rPr>
        <w:t xml:space="preserve"> </w:t>
      </w:r>
      <w:r w:rsidR="00FD4E1E">
        <w:rPr>
          <w:rFonts w:cs="Times New Roman"/>
          <w:lang w:val="en-AU"/>
        </w:rPr>
        <w:t>solely</w:t>
      </w:r>
      <w:r w:rsidR="00D2037E">
        <w:rPr>
          <w:rFonts w:cs="Times New Roman"/>
          <w:lang w:val="en-AU"/>
        </w:rPr>
        <w:t xml:space="preserve"> on the basis of their state connection</w:t>
      </w:r>
      <w:r w:rsidR="00CE3AAE">
        <w:rPr>
          <w:rFonts w:cs="Times New Roman"/>
          <w:lang w:val="en-AU"/>
        </w:rPr>
        <w:t>,</w:t>
      </w:r>
      <w:r w:rsidR="00D2037E">
        <w:rPr>
          <w:rFonts w:cs="Times New Roman"/>
          <w:lang w:val="en-AU"/>
        </w:rPr>
        <w:t xml:space="preserve"> regardless of any other circumstance</w:t>
      </w:r>
      <w:r w:rsidR="00CE3AAE">
        <w:rPr>
          <w:rFonts w:cs="Times New Roman"/>
          <w:lang w:val="en-AU"/>
        </w:rPr>
        <w:t>, provided</w:t>
      </w:r>
      <w:r w:rsidR="00D2037E">
        <w:rPr>
          <w:rFonts w:cs="Times New Roman"/>
          <w:lang w:val="en-AU"/>
        </w:rPr>
        <w:t xml:space="preserve"> that </w:t>
      </w:r>
      <w:r w:rsidR="00CE3AAE">
        <w:rPr>
          <w:rFonts w:cs="Times New Roman"/>
          <w:lang w:val="en-AU"/>
        </w:rPr>
        <w:t xml:space="preserve">such treatment </w:t>
      </w:r>
      <w:r w:rsidR="00D2037E">
        <w:rPr>
          <w:rFonts w:cs="Times New Roman"/>
          <w:lang w:val="en-AU"/>
        </w:rPr>
        <w:t xml:space="preserve">is not appropriate and adapted to </w:t>
      </w:r>
      <w:r w:rsidR="00446810">
        <w:rPr>
          <w:rFonts w:cs="Times New Roman"/>
          <w:lang w:val="en-AU"/>
        </w:rPr>
        <w:t>proper</w:t>
      </w:r>
      <w:r w:rsidR="00D2037E">
        <w:rPr>
          <w:rFonts w:cs="Times New Roman"/>
          <w:lang w:val="en-AU"/>
        </w:rPr>
        <w:t xml:space="preserve"> objective</w:t>
      </w:r>
      <w:r w:rsidR="00446810">
        <w:rPr>
          <w:rFonts w:cs="Times New Roman"/>
          <w:lang w:val="en-AU"/>
        </w:rPr>
        <w:t>s</w:t>
      </w:r>
      <w:r w:rsidR="00E213FD">
        <w:rPr>
          <w:rFonts w:cs="Times New Roman"/>
          <w:lang w:val="en-AU"/>
        </w:rPr>
        <w:t xml:space="preserve">. </w:t>
      </w:r>
      <w:r w:rsidR="006B21CE">
        <w:rPr>
          <w:rFonts w:cs="Times New Roman"/>
          <w:lang w:val="en-AU"/>
        </w:rPr>
        <w:t>Finally</w:t>
      </w:r>
      <w:r w:rsidR="00E213FD">
        <w:rPr>
          <w:rFonts w:cs="Times New Roman"/>
          <w:lang w:val="en-AU"/>
        </w:rPr>
        <w:t>,</w:t>
      </w:r>
      <w:r w:rsidR="006B21CE">
        <w:rPr>
          <w:rFonts w:cs="Times New Roman"/>
          <w:lang w:val="en-AU"/>
        </w:rPr>
        <w:t xml:space="preserve"> in Part VII</w:t>
      </w:r>
      <w:r w:rsidR="00446810">
        <w:rPr>
          <w:rFonts w:cs="Times New Roman"/>
          <w:lang w:val="en-AU"/>
        </w:rPr>
        <w:t xml:space="preserve">, I will argue </w:t>
      </w:r>
      <w:r w:rsidR="00E213FD">
        <w:rPr>
          <w:rFonts w:cs="Times New Roman"/>
          <w:lang w:val="en-AU"/>
        </w:rPr>
        <w:t xml:space="preserve">that </w:t>
      </w:r>
      <w:r>
        <w:rPr>
          <w:rFonts w:cs="Times New Roman"/>
          <w:lang w:val="en-AU"/>
        </w:rPr>
        <w:t xml:space="preserve">the zone tax offset </w:t>
      </w:r>
      <w:r w:rsidR="000E535B">
        <w:rPr>
          <w:rFonts w:cs="Times New Roman"/>
          <w:lang w:val="en-AU"/>
        </w:rPr>
        <w:t xml:space="preserve">is constitutionally valid because it </w:t>
      </w:r>
      <w:r>
        <w:rPr>
          <w:rFonts w:cs="Times New Roman"/>
          <w:lang w:val="en-AU"/>
        </w:rPr>
        <w:t xml:space="preserve">does not impose differential treatment </w:t>
      </w:r>
      <w:r w:rsidR="00446810">
        <w:rPr>
          <w:rFonts w:cs="Times New Roman"/>
          <w:lang w:val="en-AU"/>
        </w:rPr>
        <w:t xml:space="preserve">solely on the basis of </w:t>
      </w:r>
      <w:r w:rsidR="00A73EFF">
        <w:rPr>
          <w:rFonts w:cs="Times New Roman"/>
          <w:lang w:val="en-AU"/>
        </w:rPr>
        <w:t>state connection and</w:t>
      </w:r>
      <w:r w:rsidR="00E213FD">
        <w:rPr>
          <w:rFonts w:cs="Times New Roman"/>
          <w:lang w:val="en-AU"/>
        </w:rPr>
        <w:t xml:space="preserve"> is appropriate and adapted to the attainment of two </w:t>
      </w:r>
      <w:r w:rsidR="00446810">
        <w:rPr>
          <w:rFonts w:cs="Times New Roman"/>
          <w:lang w:val="en-AU"/>
        </w:rPr>
        <w:t>proper</w:t>
      </w:r>
      <w:r w:rsidR="00E213FD">
        <w:rPr>
          <w:rFonts w:cs="Times New Roman"/>
          <w:lang w:val="en-AU"/>
        </w:rPr>
        <w:t xml:space="preserve"> </w:t>
      </w:r>
      <w:r w:rsidR="00AD3348">
        <w:rPr>
          <w:rFonts w:cs="Times New Roman"/>
          <w:lang w:val="en-AU"/>
        </w:rPr>
        <w:t>objectives</w:t>
      </w:r>
      <w:r w:rsidR="00E213FD">
        <w:rPr>
          <w:rFonts w:cs="Times New Roman"/>
          <w:lang w:val="en-AU"/>
        </w:rPr>
        <w:t xml:space="preserve">: encouraging development of remote Australia and compensating residents of remote areas for the disadvantages of </w:t>
      </w:r>
      <w:r w:rsidR="00343986" w:rsidRPr="00343986">
        <w:rPr>
          <w:rFonts w:cs="Times New Roman"/>
          <w:lang w:val="en-AU"/>
        </w:rPr>
        <w:t>uncongenial climatic conditions, isol</w:t>
      </w:r>
      <w:r w:rsidR="00343986">
        <w:rPr>
          <w:rFonts w:cs="Times New Roman"/>
          <w:lang w:val="en-AU"/>
        </w:rPr>
        <w:t xml:space="preserve">ation and high cost of </w:t>
      </w:r>
      <w:r w:rsidR="00313AD5">
        <w:rPr>
          <w:rFonts w:cs="Times New Roman"/>
          <w:lang w:val="en-AU"/>
        </w:rPr>
        <w:t>living.</w:t>
      </w:r>
    </w:p>
    <w:p w14:paraId="0F397825" w14:textId="27444360" w:rsidR="00B31F4F" w:rsidRDefault="00AE4F32" w:rsidP="007016B1">
      <w:pPr>
        <w:pStyle w:val="Heading1"/>
        <w:spacing w:line="480" w:lineRule="auto"/>
      </w:pPr>
      <w:bookmarkStart w:id="2" w:name="_Toc449554416"/>
      <w:r>
        <w:t xml:space="preserve">II Constitutional </w:t>
      </w:r>
      <w:r w:rsidR="00F8695F">
        <w:t>and Legislative Context</w:t>
      </w:r>
      <w:bookmarkEnd w:id="2"/>
    </w:p>
    <w:p w14:paraId="1DD69949" w14:textId="0F0BCDDA" w:rsidR="00682970" w:rsidRPr="008D6781" w:rsidRDefault="00682970" w:rsidP="007016B1">
      <w:pPr>
        <w:pStyle w:val="Heading2"/>
        <w:spacing w:line="480" w:lineRule="auto"/>
      </w:pPr>
      <w:bookmarkStart w:id="3" w:name="_Toc449554417"/>
      <w:r>
        <w:rPr>
          <w:i w:val="0"/>
        </w:rPr>
        <w:t xml:space="preserve">A </w:t>
      </w:r>
      <w:r>
        <w:t xml:space="preserve">Section 51(ii) </w:t>
      </w:r>
      <w:r w:rsidR="008D6781">
        <w:t xml:space="preserve">and </w:t>
      </w:r>
      <w:r w:rsidR="00F84370">
        <w:t xml:space="preserve">Related </w:t>
      </w:r>
      <w:r w:rsidR="00A032E1">
        <w:t xml:space="preserve">Constitutional </w:t>
      </w:r>
      <w:r w:rsidR="00F84370">
        <w:t>Provisions</w:t>
      </w:r>
      <w:bookmarkEnd w:id="3"/>
    </w:p>
    <w:p w14:paraId="175F2B9C" w14:textId="0C1EB57A" w:rsidR="000466CE" w:rsidRDefault="004066B7" w:rsidP="007016B1">
      <w:pPr>
        <w:spacing w:line="480" w:lineRule="auto"/>
      </w:pPr>
      <w:r>
        <w:tab/>
      </w:r>
      <w:r w:rsidR="003148E2">
        <w:t xml:space="preserve">Discriminatory </w:t>
      </w:r>
      <w:r w:rsidR="008D6781">
        <w:t xml:space="preserve">taxation </w:t>
      </w:r>
      <w:r w:rsidR="00823E79">
        <w:t>laws are</w:t>
      </w:r>
      <w:r w:rsidR="003148E2">
        <w:t xml:space="preserve"> prohibited by the words of t</w:t>
      </w:r>
      <w:r w:rsidR="008B79AC">
        <w:t xml:space="preserve">he </w:t>
      </w:r>
      <w:r w:rsidR="000D43EF">
        <w:rPr>
          <w:i/>
        </w:rPr>
        <w:t xml:space="preserve">Constitution </w:t>
      </w:r>
      <w:r w:rsidR="008D6781">
        <w:t>that grant</w:t>
      </w:r>
      <w:r w:rsidR="000D43EF">
        <w:t xml:space="preserve"> the</w:t>
      </w:r>
      <w:r w:rsidR="00EC7611">
        <w:t xml:space="preserve"> Commonwealth Parliament </w:t>
      </w:r>
      <w:r w:rsidR="000D43EF">
        <w:t>power to</w:t>
      </w:r>
      <w:r w:rsidR="008B79AC">
        <w:t xml:space="preserve"> tax. Section </w:t>
      </w:r>
      <w:r w:rsidR="003148E2">
        <w:t xml:space="preserve">51(ii) of the </w:t>
      </w:r>
      <w:r w:rsidR="003148E2">
        <w:rPr>
          <w:i/>
        </w:rPr>
        <w:t xml:space="preserve">Constitution </w:t>
      </w:r>
      <w:r w:rsidR="00106ABB">
        <w:t xml:space="preserve">relevantly </w:t>
      </w:r>
      <w:r w:rsidR="003148E2">
        <w:t>provides that:</w:t>
      </w:r>
    </w:p>
    <w:p w14:paraId="65FEBC58" w14:textId="77777777" w:rsidR="003148E2" w:rsidRDefault="003148E2" w:rsidP="00AE4F32"/>
    <w:p w14:paraId="3EBB6A38" w14:textId="4288173E" w:rsidR="003148E2" w:rsidRPr="003148E2" w:rsidRDefault="003148E2" w:rsidP="003148E2">
      <w:pPr>
        <w:ind w:left="720"/>
        <w:rPr>
          <w:sz w:val="20"/>
        </w:rPr>
      </w:pPr>
      <w:r w:rsidRPr="003148E2">
        <w:rPr>
          <w:sz w:val="20"/>
        </w:rPr>
        <w:t>The Parliament shall, subject to this Constitution, have power to make laws for the peace, order and good government of the Commonwealth with respect to: … taxation; but so as not to discriminate between States or parts of States;</w:t>
      </w:r>
      <w:r w:rsidR="00106ABB">
        <w:rPr>
          <w:sz w:val="20"/>
        </w:rPr>
        <w:t xml:space="preserve"> …</w:t>
      </w:r>
    </w:p>
    <w:p w14:paraId="404BFBD1" w14:textId="77777777" w:rsidR="003148E2" w:rsidRPr="003148E2" w:rsidRDefault="003148E2" w:rsidP="003148E2"/>
    <w:p w14:paraId="4D4CBF29" w14:textId="0F602B91" w:rsidR="006C3B37" w:rsidRDefault="006C3B37" w:rsidP="007016B1">
      <w:pPr>
        <w:spacing w:line="480" w:lineRule="auto"/>
      </w:pPr>
      <w:r>
        <w:lastRenderedPageBreak/>
        <w:t>The term ‘States</w:t>
      </w:r>
      <w:r w:rsidR="00D37B70">
        <w:t>’</w:t>
      </w:r>
      <w:r>
        <w:t xml:space="preserve"> is </w:t>
      </w:r>
      <w:r w:rsidR="0062629C">
        <w:t xml:space="preserve">effectively </w:t>
      </w:r>
      <w:r>
        <w:t xml:space="preserve">defined to </w:t>
      </w:r>
      <w:r w:rsidR="0062629C">
        <w:t>mean</w:t>
      </w:r>
      <w:r w:rsidR="009F54A3">
        <w:t xml:space="preserve"> the original </w:t>
      </w:r>
      <w:r w:rsidR="0062629C">
        <w:t xml:space="preserve">six </w:t>
      </w:r>
      <w:r w:rsidR="009F54A3">
        <w:t>colonies</w:t>
      </w:r>
      <w:r w:rsidR="00313AD5">
        <w:t xml:space="preserve"> </w:t>
      </w:r>
      <w:r w:rsidR="00D37B70">
        <w:t xml:space="preserve">that </w:t>
      </w:r>
      <w:r w:rsidR="009B2362">
        <w:t xml:space="preserve">federated </w:t>
      </w:r>
      <w:r w:rsidR="0062629C">
        <w:t>as well as</w:t>
      </w:r>
      <w:r w:rsidR="009F54A3">
        <w:t xml:space="preserve"> the Northern Territory</w:t>
      </w:r>
      <w:r w:rsidR="00D37B70">
        <w:t>.</w:t>
      </w:r>
      <w:r w:rsidR="00D37B70">
        <w:rPr>
          <w:rStyle w:val="FootnoteReference"/>
        </w:rPr>
        <w:footnoteReference w:id="7"/>
      </w:r>
      <w:r w:rsidR="0062629C">
        <w:t xml:space="preserve"> Neither the term ‘discriminate’ nor the expression ‘parts of States’ is defined in the </w:t>
      </w:r>
      <w:r w:rsidR="0062629C">
        <w:rPr>
          <w:i/>
        </w:rPr>
        <w:t>Constitution</w:t>
      </w:r>
      <w:r w:rsidR="0062629C">
        <w:t>. G</w:t>
      </w:r>
      <w:r w:rsidR="00B81131">
        <w:t xml:space="preserve">uidance on </w:t>
      </w:r>
      <w:r w:rsidR="0062629C">
        <w:t>these matters must be obtained from elsewhere</w:t>
      </w:r>
      <w:r w:rsidR="00B81131">
        <w:t>.</w:t>
      </w:r>
    </w:p>
    <w:p w14:paraId="08D544A5" w14:textId="584C4F91" w:rsidR="009F2980" w:rsidRDefault="00B81131" w:rsidP="007016B1">
      <w:pPr>
        <w:spacing w:line="480" w:lineRule="auto"/>
      </w:pPr>
      <w:r>
        <w:tab/>
        <w:t xml:space="preserve">One </w:t>
      </w:r>
      <w:r w:rsidR="0062629C">
        <w:t>source of guidance is the</w:t>
      </w:r>
      <w:r>
        <w:t xml:space="preserve"> wider constitutional context. </w:t>
      </w:r>
      <w:r w:rsidR="00EB6AA4">
        <w:t>Section 51(ii)</w:t>
      </w:r>
      <w:r w:rsidR="00550A21">
        <w:t xml:space="preserve"> forms part of two networks of </w:t>
      </w:r>
      <w:r w:rsidR="005D5E65">
        <w:t xml:space="preserve">related </w:t>
      </w:r>
      <w:r w:rsidR="00550A21">
        <w:t xml:space="preserve">provisions: </w:t>
      </w:r>
      <w:r w:rsidR="002F4F0B">
        <w:t>one</w:t>
      </w:r>
      <w:r w:rsidR="005D5E65">
        <w:t xml:space="preserve"> establishing an </w:t>
      </w:r>
      <w:r w:rsidR="009F2980">
        <w:t xml:space="preserve">Australian </w:t>
      </w:r>
      <w:r w:rsidR="005D5E65">
        <w:t xml:space="preserve">economic union and the </w:t>
      </w:r>
      <w:r w:rsidR="002F4F0B">
        <w:t xml:space="preserve">other establishing </w:t>
      </w:r>
      <w:r w:rsidR="002F4F0B" w:rsidRPr="009F2980">
        <w:rPr>
          <w:i/>
        </w:rPr>
        <w:t>de minimus</w:t>
      </w:r>
      <w:r w:rsidR="002F4F0B">
        <w:t xml:space="preserve"> equality </w:t>
      </w:r>
      <w:r w:rsidR="004A40C4">
        <w:t>guarantees</w:t>
      </w:r>
      <w:r w:rsidR="008B79AC">
        <w:t>.</w:t>
      </w:r>
      <w:bookmarkStart w:id="4" w:name="_Ref444440163"/>
      <w:r w:rsidR="00B30A2E">
        <w:rPr>
          <w:rStyle w:val="FootnoteReference"/>
        </w:rPr>
        <w:footnoteReference w:id="8"/>
      </w:r>
      <w:bookmarkEnd w:id="4"/>
      <w:r w:rsidR="008B79AC">
        <w:t xml:space="preserve"> </w:t>
      </w:r>
      <w:r w:rsidR="00305E22">
        <w:t xml:space="preserve">These two networks are not mutually exclusive. The provisions that form part of these networks are divisible into two </w:t>
      </w:r>
      <w:r w:rsidR="004A40C4">
        <w:t xml:space="preserve">functional </w:t>
      </w:r>
      <w:r w:rsidR="00305E22">
        <w:t xml:space="preserve">categories: grants to the Commonwealth Parliament of exclusive </w:t>
      </w:r>
      <w:r w:rsidR="009E0EE5">
        <w:t>legislative</w:t>
      </w:r>
      <w:r w:rsidR="00305E22">
        <w:t xml:space="preserve"> powers and restrictions on the powers of the Commonwealth and state Parliaments and governments.</w:t>
      </w:r>
    </w:p>
    <w:p w14:paraId="43957A1D" w14:textId="3369CA30" w:rsidR="00101739" w:rsidRDefault="0062629C" w:rsidP="007016B1">
      <w:pPr>
        <w:spacing w:line="480" w:lineRule="auto"/>
        <w:ind w:firstLine="720"/>
      </w:pPr>
      <w:r>
        <w:t>In terms of exclusive legislative powers</w:t>
      </w:r>
      <w:r w:rsidR="00F25050">
        <w:t xml:space="preserve">, the Commonwealth </w:t>
      </w:r>
      <w:r w:rsidR="008D6781">
        <w:t xml:space="preserve">Parliament </w:t>
      </w:r>
      <w:r w:rsidR="00C855AB">
        <w:t>may</w:t>
      </w:r>
      <w:r w:rsidR="008D6781">
        <w:t xml:space="preserve"> forbid any </w:t>
      </w:r>
      <w:r w:rsidR="008D6781" w:rsidRPr="009E0EE5">
        <w:t>preference</w:t>
      </w:r>
      <w:r w:rsidR="008D6781">
        <w:t xml:space="preserve"> or discrimination by a state in relation to railways that is adjudged by the Inter-State Commission to be undue and unreasonable or unjust to any state.</w:t>
      </w:r>
      <w:r w:rsidR="008D6781">
        <w:rPr>
          <w:rStyle w:val="FootnoteReference"/>
        </w:rPr>
        <w:footnoteReference w:id="9"/>
      </w:r>
      <w:r w:rsidR="008D6781">
        <w:t xml:space="preserve"> Further, the Commonwealth </w:t>
      </w:r>
      <w:r w:rsidR="00F25050">
        <w:t xml:space="preserve">was required to impose uniform duties of customs and excise by 1903, at which point its </w:t>
      </w:r>
      <w:r w:rsidR="00106ABB">
        <w:t xml:space="preserve">legislative </w:t>
      </w:r>
      <w:r w:rsidR="00F25050">
        <w:t>powers to impose such duties and to grant bounties on the production or export of goods</w:t>
      </w:r>
      <w:r w:rsidR="00101739">
        <w:t>, which it held since Federation</w:t>
      </w:r>
      <w:r w:rsidR="00EA5CB3">
        <w:t xml:space="preserve"> in 1901</w:t>
      </w:r>
      <w:r w:rsidR="00101739">
        <w:t>,</w:t>
      </w:r>
      <w:r w:rsidR="00F25050">
        <w:t xml:space="preserve"> became exclusive of the states.</w:t>
      </w:r>
      <w:r w:rsidR="00F25050">
        <w:rPr>
          <w:rStyle w:val="FootnoteReference"/>
        </w:rPr>
        <w:footnoteReference w:id="10"/>
      </w:r>
    </w:p>
    <w:p w14:paraId="4B28FF1A" w14:textId="324D0263" w:rsidR="000D43EF" w:rsidRDefault="00101739" w:rsidP="007016B1">
      <w:pPr>
        <w:spacing w:line="480" w:lineRule="auto"/>
        <w:ind w:firstLine="720"/>
      </w:pPr>
      <w:r>
        <w:t xml:space="preserve">Turning to the </w:t>
      </w:r>
      <w:r w:rsidR="0062629C">
        <w:t>restrictions</w:t>
      </w:r>
      <w:r>
        <w:t xml:space="preserve">, </w:t>
      </w:r>
      <w:r w:rsidR="00305E22">
        <w:t>in addition to the section 51(ii) discrimination prohibition</w:t>
      </w:r>
      <w:r w:rsidR="00F25050">
        <w:t xml:space="preserve">, any bounties </w:t>
      </w:r>
      <w:r w:rsidR="00305E22">
        <w:t xml:space="preserve">granted by the Commonwealth Parliament </w:t>
      </w:r>
      <w:r w:rsidR="00F25050">
        <w:t>must be uniform throughout the Commonwealth.</w:t>
      </w:r>
      <w:r w:rsidR="00F25050">
        <w:rPr>
          <w:rStyle w:val="FootnoteReference"/>
        </w:rPr>
        <w:footnoteReference w:id="11"/>
      </w:r>
      <w:r w:rsidR="00F25050">
        <w:t xml:space="preserve"> </w:t>
      </w:r>
      <w:r>
        <w:t xml:space="preserve">These prohibitions are effectively extended to all Commonwealth laws of </w:t>
      </w:r>
      <w:r>
        <w:lastRenderedPageBreak/>
        <w:t xml:space="preserve">revenue, trade and commerce as well as actions of the Commonwealth executive government by section 99, which provides: </w:t>
      </w:r>
    </w:p>
    <w:p w14:paraId="02276DC2" w14:textId="03DE3BAB" w:rsidR="00C538B9" w:rsidRPr="00C538B9" w:rsidRDefault="00C538B9" w:rsidP="00C538B9">
      <w:pPr>
        <w:ind w:left="720"/>
        <w:rPr>
          <w:sz w:val="20"/>
        </w:rPr>
      </w:pPr>
      <w:r w:rsidRPr="00C538B9">
        <w:rPr>
          <w:sz w:val="20"/>
        </w:rPr>
        <w:t>The Commonwealth shall not, by any law or regulation of trade, commerce, or revenue, give preference to one State or any part thereof over another State or any part thereof.</w:t>
      </w:r>
    </w:p>
    <w:p w14:paraId="238CE030" w14:textId="77777777" w:rsidR="008B79AC" w:rsidRDefault="008B79AC" w:rsidP="00AE4F32"/>
    <w:p w14:paraId="65B239CB" w14:textId="5516B57B" w:rsidR="002F499E" w:rsidRDefault="00C538B9" w:rsidP="007016B1">
      <w:pPr>
        <w:spacing w:line="480" w:lineRule="auto"/>
      </w:pPr>
      <w:r>
        <w:t xml:space="preserve">Other </w:t>
      </w:r>
      <w:r w:rsidR="00EC7611">
        <w:t>sections</w:t>
      </w:r>
      <w:r>
        <w:t xml:space="preserve"> </w:t>
      </w:r>
      <w:r w:rsidR="00EC7611">
        <w:t xml:space="preserve">of the </w:t>
      </w:r>
      <w:r w:rsidR="00EC7611">
        <w:rPr>
          <w:i/>
        </w:rPr>
        <w:t xml:space="preserve">Constitution </w:t>
      </w:r>
      <w:r w:rsidR="00186EDB">
        <w:t>require</w:t>
      </w:r>
      <w:r w:rsidR="008D6781">
        <w:t xml:space="preserve"> that </w:t>
      </w:r>
      <w:r w:rsidR="000D43EF">
        <w:t xml:space="preserve">trade, commerce and intercourse among the </w:t>
      </w:r>
      <w:r w:rsidR="004C000C">
        <w:t>s</w:t>
      </w:r>
      <w:r w:rsidR="000D43EF">
        <w:t>tates be absolutely free</w:t>
      </w:r>
      <w:r w:rsidR="008D6781">
        <w:t>,</w:t>
      </w:r>
      <w:r w:rsidR="000D43EF">
        <w:rPr>
          <w:rStyle w:val="FootnoteReference"/>
        </w:rPr>
        <w:footnoteReference w:id="12"/>
      </w:r>
      <w:r w:rsidR="008D6781">
        <w:t xml:space="preserve"> and that residents of one state shall not be subject to any disability or discrimination in another state that would not be equally applicable to them if they were a resident of that other state.</w:t>
      </w:r>
      <w:r w:rsidR="008D6781">
        <w:rPr>
          <w:rStyle w:val="FootnoteReference"/>
        </w:rPr>
        <w:footnoteReference w:id="13"/>
      </w:r>
    </w:p>
    <w:p w14:paraId="0924A84B" w14:textId="312D310C" w:rsidR="00FE5BAD" w:rsidRDefault="006A5FC7" w:rsidP="007016B1">
      <w:pPr>
        <w:spacing w:line="480" w:lineRule="auto"/>
      </w:pPr>
      <w:r>
        <w:tab/>
      </w:r>
      <w:r w:rsidR="00FE5BAD">
        <w:t>Given this context, section 51(ii) cannot be interprete</w:t>
      </w:r>
      <w:r w:rsidR="00D77433">
        <w:t>d in isolation. Because section </w:t>
      </w:r>
      <w:r w:rsidR="00FE5BAD">
        <w:t xml:space="preserve">51(ii) forms part of two networks of </w:t>
      </w:r>
      <w:r w:rsidR="009B3200">
        <w:t>inter</w:t>
      </w:r>
      <w:r w:rsidR="00FE5BAD">
        <w:t>related provisions, a common interpretative approach should apply to those provisions to the extent that the particular words, context and purpose of each provision permit. As Professor Saunders argued, ‘the various usages of the [discrimination] concept clearly have enough in common to warrant a general consistency in approach unless a reason to depart from it is shown.’</w:t>
      </w:r>
      <w:bookmarkStart w:id="5" w:name="_Ref449533330"/>
      <w:r w:rsidR="00FE5BAD">
        <w:rPr>
          <w:rStyle w:val="FootnoteReference"/>
        </w:rPr>
        <w:footnoteReference w:id="14"/>
      </w:r>
      <w:bookmarkEnd w:id="5"/>
      <w:r w:rsidR="00FE5BAD">
        <w:t xml:space="preserve"> At the very least, the approach adopted in relation to one provision </w:t>
      </w:r>
      <w:r w:rsidR="00DE56FC">
        <w:t>should be</w:t>
      </w:r>
      <w:r w:rsidR="00FE5BAD">
        <w:t xml:space="preserve"> relevant to determining the approach to the others.</w:t>
      </w:r>
      <w:r w:rsidR="00357B88">
        <w:t xml:space="preserve"> The interpretative approach adopted by the High Court in relation to section 51(ii)’s related pro</w:t>
      </w:r>
      <w:r w:rsidR="00DE56FC">
        <w:t>visions is considered in Part IV</w:t>
      </w:r>
      <w:r w:rsidR="00357B88">
        <w:t>.</w:t>
      </w:r>
    </w:p>
    <w:p w14:paraId="00D9730D" w14:textId="71DE66EC" w:rsidR="00F8695F" w:rsidRDefault="00F8695F" w:rsidP="007016B1">
      <w:pPr>
        <w:pStyle w:val="Heading2"/>
        <w:spacing w:line="480" w:lineRule="auto"/>
      </w:pPr>
      <w:bookmarkStart w:id="6" w:name="_Toc449554418"/>
      <w:r>
        <w:rPr>
          <w:i w:val="0"/>
        </w:rPr>
        <w:t xml:space="preserve">B </w:t>
      </w:r>
      <w:r w:rsidR="00795A84">
        <w:t>Income Tax</w:t>
      </w:r>
      <w:bookmarkEnd w:id="6"/>
    </w:p>
    <w:p w14:paraId="7A11BFB7" w14:textId="11367B72" w:rsidR="00F8695F" w:rsidRDefault="00F8695F" w:rsidP="007016B1">
      <w:pPr>
        <w:keepNext/>
        <w:spacing w:line="480" w:lineRule="auto"/>
      </w:pPr>
      <w:r>
        <w:tab/>
        <w:t xml:space="preserve">For each income year, </w:t>
      </w:r>
      <w:r w:rsidR="0062629C">
        <w:t xml:space="preserve">a person’s </w:t>
      </w:r>
      <w:r>
        <w:t xml:space="preserve">income tax </w:t>
      </w:r>
      <w:r w:rsidR="0062629C">
        <w:t xml:space="preserve">liability </w:t>
      </w:r>
      <w:r>
        <w:t xml:space="preserve">is calculated </w:t>
      </w:r>
      <w:r w:rsidR="0062629C">
        <w:t>as follows</w:t>
      </w:r>
      <w:r>
        <w:t>:</w:t>
      </w:r>
      <w:r>
        <w:rPr>
          <w:rStyle w:val="FootnoteReference"/>
        </w:rPr>
        <w:footnoteReference w:id="15"/>
      </w:r>
    </w:p>
    <w:p w14:paraId="68A5A2CA" w14:textId="77777777" w:rsidR="00F8695F" w:rsidRDefault="00F8695F" w:rsidP="00BF0AED">
      <w:pPr>
        <w:keepNext/>
        <w:ind w:left="720"/>
        <w:rPr>
          <w:sz w:val="20"/>
          <w:szCs w:val="20"/>
        </w:rPr>
      </w:pPr>
      <w:r>
        <w:rPr>
          <w:sz w:val="20"/>
          <w:szCs w:val="20"/>
        </w:rPr>
        <w:t xml:space="preserve">Income tax = </w:t>
      </w:r>
      <w:r w:rsidRPr="00057C33">
        <w:rPr>
          <w:sz w:val="20"/>
          <w:szCs w:val="20"/>
        </w:rPr>
        <w:t>(</w:t>
      </w:r>
      <w:r>
        <w:rPr>
          <w:sz w:val="20"/>
          <w:szCs w:val="20"/>
        </w:rPr>
        <w:t>Taxable income</w:t>
      </w:r>
      <w:r w:rsidRPr="00057C33">
        <w:rPr>
          <w:sz w:val="20"/>
          <w:szCs w:val="20"/>
        </w:rPr>
        <w:t xml:space="preserve"> x Rate) – Tax offsets</w:t>
      </w:r>
    </w:p>
    <w:p w14:paraId="35630AFB" w14:textId="77777777" w:rsidR="00F8695F" w:rsidRDefault="00F8695F" w:rsidP="00BF0AED">
      <w:pPr>
        <w:keepNext/>
        <w:ind w:left="720"/>
        <w:rPr>
          <w:sz w:val="20"/>
          <w:szCs w:val="20"/>
        </w:rPr>
      </w:pPr>
    </w:p>
    <w:p w14:paraId="33A912BB" w14:textId="77777777" w:rsidR="00F8695F" w:rsidRDefault="00F8695F" w:rsidP="00BF0AED">
      <w:pPr>
        <w:keepNext/>
        <w:ind w:left="720"/>
        <w:rPr>
          <w:sz w:val="20"/>
          <w:szCs w:val="20"/>
        </w:rPr>
      </w:pPr>
      <w:r>
        <w:rPr>
          <w:sz w:val="20"/>
          <w:szCs w:val="20"/>
        </w:rPr>
        <w:t>where</w:t>
      </w:r>
    </w:p>
    <w:p w14:paraId="784057B6" w14:textId="77777777" w:rsidR="00F8695F" w:rsidRDefault="00F8695F" w:rsidP="00BF0AED">
      <w:pPr>
        <w:keepNext/>
        <w:ind w:left="720"/>
        <w:rPr>
          <w:sz w:val="20"/>
          <w:szCs w:val="20"/>
        </w:rPr>
      </w:pPr>
    </w:p>
    <w:p w14:paraId="5771E1C5" w14:textId="77777777" w:rsidR="00F8695F" w:rsidRPr="00057C33" w:rsidRDefault="00F8695F" w:rsidP="00BF0AED">
      <w:pPr>
        <w:keepNext/>
        <w:ind w:left="720"/>
        <w:rPr>
          <w:sz w:val="20"/>
          <w:szCs w:val="20"/>
        </w:rPr>
      </w:pPr>
      <w:r>
        <w:rPr>
          <w:sz w:val="20"/>
          <w:szCs w:val="20"/>
        </w:rPr>
        <w:t>Taxable income = Assessable income – Deductions</w:t>
      </w:r>
    </w:p>
    <w:p w14:paraId="46EF17C3" w14:textId="77777777" w:rsidR="00F8695F" w:rsidRDefault="00F8695F" w:rsidP="001F2246"/>
    <w:p w14:paraId="10C494D1" w14:textId="7B795928" w:rsidR="00916ABD" w:rsidRDefault="00916ABD" w:rsidP="007016B1">
      <w:pPr>
        <w:spacing w:line="480" w:lineRule="auto"/>
      </w:pPr>
      <w:r>
        <w:lastRenderedPageBreak/>
        <w:t>T</w:t>
      </w:r>
      <w:r w:rsidR="00F8695F" w:rsidRPr="00A75397">
        <w:t xml:space="preserve">axpayers may be entitled to two types of concessions: deductions </w:t>
      </w:r>
      <w:r w:rsidR="000078E6">
        <w:t xml:space="preserve">(allowances) </w:t>
      </w:r>
      <w:r w:rsidR="00F8695F" w:rsidRPr="00A75397">
        <w:t>and offsets</w:t>
      </w:r>
      <w:r w:rsidR="000078E6">
        <w:t xml:space="preserve"> (credits)</w:t>
      </w:r>
      <w:r w:rsidR="00F8695F" w:rsidRPr="00A75397">
        <w:t xml:space="preserve">. </w:t>
      </w:r>
      <w:r>
        <w:t>Offsets</w:t>
      </w:r>
      <w:r w:rsidR="00F8695F" w:rsidRPr="00A75397">
        <w:t xml:space="preserve"> are </w:t>
      </w:r>
      <w:r>
        <w:t xml:space="preserve">generally </w:t>
      </w:r>
      <w:r w:rsidR="00F8695F" w:rsidRPr="00A75397">
        <w:t>more valuable to taxpayers because they are subtracted directly from the amount of tax that would otherwise be payable</w:t>
      </w:r>
      <w:r w:rsidR="00BF0AED">
        <w:t xml:space="preserve">, whereas </w:t>
      </w:r>
      <w:r>
        <w:t>a deduction for the same amount would</w:t>
      </w:r>
      <w:r w:rsidR="00BF0AED">
        <w:t xml:space="preserve"> only decrease the amount of taxable income on which tax is assessed</w:t>
      </w:r>
      <w:r w:rsidR="00F8695F" w:rsidRPr="00A75397">
        <w:t>.</w:t>
      </w:r>
      <w:r w:rsidR="000078E6">
        <w:t xml:space="preserve"> </w:t>
      </w:r>
      <w:r>
        <w:t xml:space="preserve">However, </w:t>
      </w:r>
      <w:r w:rsidR="0049597A">
        <w:t xml:space="preserve">as many offsets are non-refundable and </w:t>
      </w:r>
      <w:r w:rsidR="0062629C">
        <w:t>cannot</w:t>
      </w:r>
      <w:r w:rsidR="0049597A">
        <w:t xml:space="preserve"> be carried forward, deductions </w:t>
      </w:r>
      <w:r w:rsidR="0062629C">
        <w:t>can</w:t>
      </w:r>
      <w:r w:rsidR="0049597A">
        <w:t xml:space="preserve"> be more valuable to</w:t>
      </w:r>
      <w:r>
        <w:t xml:space="preserve"> taxpayers in an overall loss position or with income below the </w:t>
      </w:r>
      <w:r w:rsidR="0094225B">
        <w:t xml:space="preserve">$18,200 </w:t>
      </w:r>
      <w:r>
        <w:t xml:space="preserve">tax-free threshold because </w:t>
      </w:r>
      <w:r w:rsidR="0062629C">
        <w:t>a deduction increases carry forward losses</w:t>
      </w:r>
      <w:r w:rsidR="005914E0">
        <w:t xml:space="preserve">. </w:t>
      </w:r>
    </w:p>
    <w:p w14:paraId="2D8025CA" w14:textId="0B07F69C" w:rsidR="00F8695F" w:rsidRDefault="00F8695F" w:rsidP="007016B1">
      <w:pPr>
        <w:pStyle w:val="Heading2"/>
        <w:spacing w:line="480" w:lineRule="auto"/>
      </w:pPr>
      <w:bookmarkStart w:id="7" w:name="_Toc449554419"/>
      <w:r>
        <w:rPr>
          <w:i w:val="0"/>
        </w:rPr>
        <w:t xml:space="preserve">C </w:t>
      </w:r>
      <w:r w:rsidR="00795A84">
        <w:t>Zone Tax Offset</w:t>
      </w:r>
      <w:bookmarkEnd w:id="7"/>
    </w:p>
    <w:p w14:paraId="6A9C67BC" w14:textId="6C1090E0" w:rsidR="00F8695F" w:rsidRDefault="00F06B45" w:rsidP="007016B1">
      <w:pPr>
        <w:spacing w:line="480" w:lineRule="auto"/>
        <w:ind w:firstLine="720"/>
      </w:pPr>
      <w:r>
        <w:t>Each income year, r</w:t>
      </w:r>
      <w:r w:rsidR="00F8695F">
        <w:t xml:space="preserve">esidents of isolated areas are </w:t>
      </w:r>
      <w:r w:rsidR="00C002FE">
        <w:t xml:space="preserve">entitled to an </w:t>
      </w:r>
      <w:r w:rsidR="00F8695F">
        <w:t xml:space="preserve">offset in accordance with section 79A of the </w:t>
      </w:r>
      <w:r w:rsidR="00F8695F">
        <w:rPr>
          <w:i/>
        </w:rPr>
        <w:t xml:space="preserve">Income Tax Assessment Act 1936 </w:t>
      </w:r>
      <w:r w:rsidR="00F8695F">
        <w:t>(Cth)</w:t>
      </w:r>
      <w:r w:rsidR="009C5AE7">
        <w:t xml:space="preserve"> (‘</w:t>
      </w:r>
      <w:r w:rsidR="009C5AE7">
        <w:rPr>
          <w:i/>
        </w:rPr>
        <w:t>ITAA 1936</w:t>
      </w:r>
      <w:r w:rsidR="009C5AE7">
        <w:t>’)</w:t>
      </w:r>
      <w:r w:rsidR="00F8695F">
        <w:t>.</w:t>
      </w:r>
      <w:r w:rsidR="00F8695F">
        <w:rPr>
          <w:rStyle w:val="FootnoteReference"/>
        </w:rPr>
        <w:footnoteReference w:id="16"/>
      </w:r>
      <w:r w:rsidR="00F8695F">
        <w:t xml:space="preserve"> In the 2012-13 income year, 556,850 individuals were assessed as being eligible for </w:t>
      </w:r>
      <w:r w:rsidR="004A65CE">
        <w:t>this zone tax offset</w:t>
      </w:r>
      <w:r w:rsidR="00575F7D">
        <w:t>, which resulted in the Commonwealth forgoing</w:t>
      </w:r>
      <w:r w:rsidR="00F8695F">
        <w:t xml:space="preserve"> $286,932,680</w:t>
      </w:r>
      <w:r w:rsidR="00575F7D">
        <w:t xml:space="preserve"> in income tax</w:t>
      </w:r>
      <w:r w:rsidR="00F8695F">
        <w:t>.</w:t>
      </w:r>
      <w:r w:rsidR="00F8695F">
        <w:rPr>
          <w:rStyle w:val="FootnoteReference"/>
        </w:rPr>
        <w:footnoteReference w:id="17"/>
      </w:r>
      <w:r w:rsidR="00F8695F">
        <w:t xml:space="preserve"> The offset is restricted to individuals; companies and trustees cannot claim it.</w:t>
      </w:r>
      <w:r w:rsidR="00F8695F">
        <w:rPr>
          <w:rStyle w:val="FootnoteReference"/>
        </w:rPr>
        <w:footnoteReference w:id="18"/>
      </w:r>
      <w:r w:rsidR="00F8695F">
        <w:t xml:space="preserve"> An individual will be considered a resident of an isolated area for an income year if their usual place of residence was within that area for more than half of that income year.</w:t>
      </w:r>
      <w:r w:rsidR="00F8695F">
        <w:rPr>
          <w:rStyle w:val="FootnoteReference"/>
        </w:rPr>
        <w:footnoteReference w:id="19"/>
      </w:r>
      <w:r w:rsidR="00F8695F">
        <w:t xml:space="preserve"> </w:t>
      </w:r>
    </w:p>
    <w:p w14:paraId="0D449687" w14:textId="3FEF159B" w:rsidR="00F8695F" w:rsidRDefault="00F8695F" w:rsidP="007016B1">
      <w:pPr>
        <w:spacing w:line="480" w:lineRule="auto"/>
        <w:ind w:firstLine="720"/>
      </w:pPr>
      <w:r>
        <w:t xml:space="preserve">There are three geographically defined areas of Australia to which the offset applies: </w:t>
      </w:r>
      <w:r w:rsidR="00DC4AA8">
        <w:t>‘</w:t>
      </w:r>
      <w:r>
        <w:t>Zone A</w:t>
      </w:r>
      <w:r w:rsidR="00DC4AA8">
        <w:t>’</w:t>
      </w:r>
      <w:r>
        <w:t xml:space="preserve">, </w:t>
      </w:r>
      <w:r w:rsidR="00DC4AA8">
        <w:t>‘</w:t>
      </w:r>
      <w:r>
        <w:t>Zone B</w:t>
      </w:r>
      <w:r w:rsidR="00DC4AA8">
        <w:t>’</w:t>
      </w:r>
      <w:r>
        <w:t xml:space="preserve"> and </w:t>
      </w:r>
      <w:r w:rsidR="00DC4AA8">
        <w:t>‘</w:t>
      </w:r>
      <w:r>
        <w:t>the special area</w:t>
      </w:r>
      <w:r w:rsidR="00DC4AA8">
        <w:t>’</w:t>
      </w:r>
      <w:r w:rsidR="00E520C0">
        <w:t xml:space="preserve"> (</w:t>
      </w:r>
      <w:r>
        <w:t>collectively defined as the ‘prescribed area’</w:t>
      </w:r>
      <w:r w:rsidR="00E520C0">
        <w:t>).</w:t>
      </w:r>
      <w:r>
        <w:rPr>
          <w:rStyle w:val="FootnoteReference"/>
        </w:rPr>
        <w:footnoteReference w:id="20"/>
      </w:r>
      <w:r w:rsidR="00E520C0">
        <w:t xml:space="preserve"> </w:t>
      </w:r>
      <w:r>
        <w:t xml:space="preserve">Zone A consists of </w:t>
      </w:r>
      <w:r w:rsidR="00C900CE">
        <w:t xml:space="preserve">the northern third of Australia as well as </w:t>
      </w:r>
      <w:r w:rsidR="00FE383F">
        <w:t>the</w:t>
      </w:r>
      <w:r w:rsidR="00C900CE">
        <w:t xml:space="preserve"> </w:t>
      </w:r>
      <w:r>
        <w:t>external territories.</w:t>
      </w:r>
      <w:r>
        <w:rPr>
          <w:rStyle w:val="FootnoteReference"/>
        </w:rPr>
        <w:footnoteReference w:id="21"/>
      </w:r>
      <w:r>
        <w:t xml:space="preserve"> Zone B </w:t>
      </w:r>
      <w:r w:rsidR="00C900CE">
        <w:t>consists of</w:t>
      </w:r>
      <w:r w:rsidR="00E05EF4">
        <w:t xml:space="preserve"> the central third of Australia</w:t>
      </w:r>
      <w:r w:rsidR="00C900CE">
        <w:t xml:space="preserve"> and western Tasmania</w:t>
      </w:r>
      <w:r>
        <w:t>.</w:t>
      </w:r>
      <w:r>
        <w:rPr>
          <w:rStyle w:val="FootnoteReference"/>
        </w:rPr>
        <w:footnoteReference w:id="22"/>
      </w:r>
      <w:r>
        <w:t xml:space="preserve"> The special area consists of those parts of Zone</w:t>
      </w:r>
      <w:r w:rsidR="003F34DA">
        <w:t>s</w:t>
      </w:r>
      <w:r>
        <w:t xml:space="preserve"> A and B that are </w:t>
      </w:r>
      <w:r w:rsidR="006543B6">
        <w:t>250 </w:t>
      </w:r>
      <w:r>
        <w:t xml:space="preserve">kilometres or </w:t>
      </w:r>
      <w:r w:rsidR="00DF72E0">
        <w:t>more</w:t>
      </w:r>
      <w:r>
        <w:t xml:space="preserve"> by the shortest practicable surface route from the nearest urban centre with a population of 2,500 or greater (</w:t>
      </w:r>
      <w:r w:rsidR="00DF72E0">
        <w:t xml:space="preserve">according </w:t>
      </w:r>
      <w:r w:rsidR="00DF72E0">
        <w:lastRenderedPageBreak/>
        <w:t>to the 1981 census data of the</w:t>
      </w:r>
      <w:r>
        <w:t xml:space="preserve"> Australian Bureau of Statistics).</w:t>
      </w:r>
      <w:r>
        <w:rPr>
          <w:rStyle w:val="FootnoteReference"/>
        </w:rPr>
        <w:footnoteReference w:id="23"/>
      </w:r>
      <w:r>
        <w:t xml:space="preserve"> No part of Victoria or the Australian Capita</w:t>
      </w:r>
      <w:r w:rsidR="00E520C0">
        <w:t>l Territory forms part of the prescribed area</w:t>
      </w:r>
      <w:r>
        <w:t>.</w:t>
      </w:r>
    </w:p>
    <w:p w14:paraId="1480AEE7" w14:textId="77777777" w:rsidR="00DF72E0" w:rsidRDefault="00DF72E0" w:rsidP="00DF72E0"/>
    <w:p w14:paraId="27C280E0" w14:textId="77777777" w:rsidR="00DF72E0" w:rsidRDefault="00DF72E0" w:rsidP="00DF72E0">
      <w:pPr>
        <w:widowControl w:val="0"/>
        <w:autoSpaceDE w:val="0"/>
        <w:autoSpaceDN w:val="0"/>
        <w:adjustRightInd w:val="0"/>
        <w:jc w:val="center"/>
        <w:rPr>
          <w:rFonts w:ascii="Times" w:hAnsi="Times" w:cs="Times"/>
        </w:rPr>
      </w:pPr>
      <w:r>
        <w:rPr>
          <w:rFonts w:ascii="Times" w:hAnsi="Times" w:cs="Times"/>
          <w:noProof/>
        </w:rPr>
        <w:drawing>
          <wp:inline distT="0" distB="0" distL="0" distR="0" wp14:anchorId="311B09CB" wp14:editId="1A168BF6">
            <wp:extent cx="4479891" cy="4707197"/>
            <wp:effectExtent l="0" t="12065"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4584834" cy="4817465"/>
                    </a:xfrm>
                    <a:prstGeom prst="rect">
                      <a:avLst/>
                    </a:prstGeom>
                    <a:noFill/>
                    <a:ln>
                      <a:noFill/>
                    </a:ln>
                  </pic:spPr>
                </pic:pic>
              </a:graphicData>
            </a:graphic>
          </wp:inline>
        </w:drawing>
      </w:r>
    </w:p>
    <w:p w14:paraId="6BD6EA9D" w14:textId="77777777" w:rsidR="00DF72E0" w:rsidRDefault="00DF72E0" w:rsidP="00DF72E0"/>
    <w:p w14:paraId="2EF36FB0" w14:textId="2DBF711A" w:rsidR="00DF72E0" w:rsidRPr="00DF72E0" w:rsidRDefault="00DF72E0" w:rsidP="00DF72E0">
      <w:pPr>
        <w:jc w:val="center"/>
        <w:rPr>
          <w:sz w:val="21"/>
        </w:rPr>
      </w:pPr>
      <w:r w:rsidRPr="00DF72E0">
        <w:rPr>
          <w:b/>
          <w:sz w:val="21"/>
        </w:rPr>
        <w:t>Figure 1</w:t>
      </w:r>
      <w:r w:rsidR="00EA737A">
        <w:rPr>
          <w:sz w:val="21"/>
        </w:rPr>
        <w:t>: Map of the original zone boundaries</w:t>
      </w:r>
      <w:r w:rsidRPr="00DF72E0">
        <w:rPr>
          <w:sz w:val="21"/>
        </w:rPr>
        <w:t xml:space="preserve"> (bold lines) and state and territory borders (dashed lines).</w:t>
      </w:r>
      <w:r w:rsidR="00D77433">
        <w:rPr>
          <w:rStyle w:val="FootnoteReference"/>
          <w:sz w:val="21"/>
        </w:rPr>
        <w:footnoteReference w:id="24"/>
      </w:r>
    </w:p>
    <w:p w14:paraId="4C108715" w14:textId="77777777" w:rsidR="00DF72E0" w:rsidRDefault="00DF72E0" w:rsidP="00DF72E0"/>
    <w:p w14:paraId="53711872" w14:textId="1DD2954C" w:rsidR="00FB64EF" w:rsidRDefault="00F8695F" w:rsidP="003F2AA9">
      <w:pPr>
        <w:spacing w:line="480" w:lineRule="auto"/>
      </w:pPr>
      <w:r>
        <w:tab/>
        <w:t xml:space="preserve">The quantum of the zone tax offset varies depending upon the </w:t>
      </w:r>
      <w:r w:rsidR="00DF72E0">
        <w:t>zone in which an individual is resident</w:t>
      </w:r>
      <w:r>
        <w:t>, the extent to whic</w:t>
      </w:r>
      <w:r w:rsidR="004E14FE">
        <w:t>h they are entitled to a dependa</w:t>
      </w:r>
      <w:r>
        <w:t>nt (invalid and car</w:t>
      </w:r>
      <w:r w:rsidR="004E14FE">
        <w:t>er) offset or a notional dependa</w:t>
      </w:r>
      <w:r>
        <w:t>nt offset (the combined total of which is defined to be the ‘relevant rebate amount’) and whether they receive any social security payments for living in remote areas (called ‘remote area allowances’).</w:t>
      </w:r>
      <w:r>
        <w:rPr>
          <w:rStyle w:val="FootnoteReference"/>
        </w:rPr>
        <w:footnoteReference w:id="25"/>
      </w:r>
      <w:r>
        <w:t xml:space="preserve"> </w:t>
      </w:r>
      <w:r w:rsidR="00F06B45">
        <w:t>T</w:t>
      </w:r>
      <w:r>
        <w:t>he offset amount for</w:t>
      </w:r>
      <w:r w:rsidR="00F06B45">
        <w:t xml:space="preserve"> residents of: the special area</w:t>
      </w:r>
      <w:r w:rsidR="00B720C6">
        <w:t xml:space="preserve"> </w:t>
      </w:r>
      <w:r w:rsidR="00F06B45">
        <w:t>is</w:t>
      </w:r>
      <w:r w:rsidR="00B720C6">
        <w:t xml:space="preserve"> $1,173 plus 50% </w:t>
      </w:r>
      <w:r w:rsidR="00F06B45">
        <w:t>of their relevant rebate amount; Zone A is</w:t>
      </w:r>
      <w:r w:rsidR="00B720C6">
        <w:t xml:space="preserve"> $338 plus 50% of </w:t>
      </w:r>
      <w:r w:rsidR="00B720C6">
        <w:lastRenderedPageBreak/>
        <w:t>their relevant rebate amount</w:t>
      </w:r>
      <w:r w:rsidR="00F06B45">
        <w:t>;</w:t>
      </w:r>
      <w:r w:rsidR="00B720C6">
        <w:t xml:space="preserve"> or</w:t>
      </w:r>
      <w:r w:rsidR="00F06B45">
        <w:t xml:space="preserve"> Zone B is</w:t>
      </w:r>
      <w:r w:rsidR="00B720C6">
        <w:t xml:space="preserve"> $57 plus 20% of their relev</w:t>
      </w:r>
      <w:r w:rsidR="001C27B0">
        <w:t>ant rebate amount, in all cases</w:t>
      </w:r>
      <w:r>
        <w:t xml:space="preserve"> reduced by the amount of any remote area allowances. </w:t>
      </w:r>
    </w:p>
    <w:p w14:paraId="0D2C3BF4" w14:textId="77777777" w:rsidR="00CF77FC" w:rsidRDefault="00CF77FC" w:rsidP="00CF77FC"/>
    <w:p w14:paraId="7504B031" w14:textId="77777777" w:rsidR="00CF77FC" w:rsidRDefault="00CF77FC" w:rsidP="00CF77FC">
      <w:pPr>
        <w:keepNext/>
        <w:jc w:val="center"/>
      </w:pPr>
      <w:r>
        <w:rPr>
          <w:noProof/>
        </w:rPr>
        <w:drawing>
          <wp:inline distT="0" distB="0" distL="0" distR="0" wp14:anchorId="3BC136B1" wp14:editId="7E5BEEA0">
            <wp:extent cx="4705865" cy="434170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66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37077" cy="4370504"/>
                    </a:xfrm>
                    <a:prstGeom prst="rect">
                      <a:avLst/>
                    </a:prstGeom>
                  </pic:spPr>
                </pic:pic>
              </a:graphicData>
            </a:graphic>
          </wp:inline>
        </w:drawing>
      </w:r>
    </w:p>
    <w:p w14:paraId="4FE83C9D" w14:textId="77777777" w:rsidR="00CF77FC" w:rsidRDefault="00CF77FC" w:rsidP="00CF77FC">
      <w:pPr>
        <w:keepNext/>
        <w:ind w:firstLine="720"/>
      </w:pPr>
    </w:p>
    <w:p w14:paraId="1B6A33C5" w14:textId="77777777" w:rsidR="00CF77FC" w:rsidRPr="00DF72E0" w:rsidRDefault="00CF77FC" w:rsidP="00CF77FC">
      <w:pPr>
        <w:jc w:val="center"/>
        <w:rPr>
          <w:sz w:val="21"/>
        </w:rPr>
      </w:pPr>
      <w:r w:rsidRPr="00DF72E0">
        <w:rPr>
          <w:b/>
          <w:sz w:val="21"/>
        </w:rPr>
        <w:t>Figure 2</w:t>
      </w:r>
      <w:r w:rsidRPr="00DF72E0">
        <w:rPr>
          <w:sz w:val="21"/>
        </w:rPr>
        <w:t>: Map of the current zone</w:t>
      </w:r>
      <w:r>
        <w:rPr>
          <w:sz w:val="21"/>
        </w:rPr>
        <w:t xml:space="preserve"> boundarie</w:t>
      </w:r>
      <w:r w:rsidRPr="00DF72E0">
        <w:rPr>
          <w:sz w:val="21"/>
        </w:rPr>
        <w:t>s (bold lines) with state and territory borders (dashed lines).</w:t>
      </w:r>
      <w:bookmarkStart w:id="8" w:name="_Ref449531365"/>
      <w:r>
        <w:rPr>
          <w:rStyle w:val="FootnoteReference"/>
          <w:sz w:val="21"/>
        </w:rPr>
        <w:footnoteReference w:id="26"/>
      </w:r>
      <w:bookmarkEnd w:id="8"/>
    </w:p>
    <w:p w14:paraId="5450D326" w14:textId="77777777" w:rsidR="00CF77FC" w:rsidRPr="00B57F76" w:rsidRDefault="00CF77FC" w:rsidP="00CF77FC">
      <w:pPr>
        <w:ind w:firstLine="720"/>
      </w:pPr>
    </w:p>
    <w:p w14:paraId="281011BD" w14:textId="32B648DF" w:rsidR="00F8695F" w:rsidRDefault="00F8695F" w:rsidP="003F2AA9">
      <w:pPr>
        <w:spacing w:line="480" w:lineRule="auto"/>
        <w:ind w:firstLine="720"/>
      </w:pPr>
      <w:r>
        <w:t xml:space="preserve">If the offset exceeds a taxpayer’s income tax liability in one income year, the balance is neither refundable, transferable </w:t>
      </w:r>
      <w:r w:rsidR="00CD5A51">
        <w:t xml:space="preserve">to another </w:t>
      </w:r>
      <w:r>
        <w:t>nor able to be carried forward or backwards.</w:t>
      </w:r>
      <w:r>
        <w:rPr>
          <w:rStyle w:val="FootnoteReference"/>
        </w:rPr>
        <w:footnoteReference w:id="27"/>
      </w:r>
      <w:r w:rsidR="0003447E">
        <w:t xml:space="preserve"> Consequently, individuals in a loss position resident in the prescribed area are unable to obtain any value from the offset, but could obtain value from a</w:t>
      </w:r>
      <w:r w:rsidR="004E29AF">
        <w:t>n equivalent</w:t>
      </w:r>
      <w:r w:rsidR="0003447E">
        <w:t xml:space="preserve"> deduction (in the form of </w:t>
      </w:r>
      <w:r w:rsidR="003A1A1F">
        <w:t>higher</w:t>
      </w:r>
      <w:r w:rsidR="0003447E">
        <w:t xml:space="preserve"> carry forward losses). </w:t>
      </w:r>
    </w:p>
    <w:p w14:paraId="098DF448" w14:textId="3BF8663F" w:rsidR="00F8695F" w:rsidRDefault="00846F6C" w:rsidP="003F2AA9">
      <w:pPr>
        <w:pStyle w:val="Heading2"/>
        <w:spacing w:line="480" w:lineRule="auto"/>
        <w:rPr>
          <w:lang w:val="en-AU"/>
        </w:rPr>
      </w:pPr>
      <w:bookmarkStart w:id="9" w:name="_Toc449554420"/>
      <w:r>
        <w:rPr>
          <w:i w:val="0"/>
          <w:lang w:val="en-AU"/>
        </w:rPr>
        <w:lastRenderedPageBreak/>
        <w:t>D</w:t>
      </w:r>
      <w:r w:rsidR="00F8695F">
        <w:rPr>
          <w:i w:val="0"/>
          <w:lang w:val="en-AU"/>
        </w:rPr>
        <w:t xml:space="preserve"> </w:t>
      </w:r>
      <w:r w:rsidR="00F8695F">
        <w:rPr>
          <w:lang w:val="en-AU"/>
        </w:rPr>
        <w:t>Historical Views on the Constitutionality of the Zone Tax Offset</w:t>
      </w:r>
      <w:bookmarkEnd w:id="9"/>
    </w:p>
    <w:p w14:paraId="18F2D0CB" w14:textId="72557BA7" w:rsidR="00A250F4" w:rsidRDefault="00F8695F" w:rsidP="003F2AA9">
      <w:pPr>
        <w:spacing w:line="480" w:lineRule="auto"/>
        <w:ind w:firstLine="720"/>
      </w:pPr>
      <w:r>
        <w:t xml:space="preserve">From the very beginning, there was a cloud over the constitutionality of </w:t>
      </w:r>
      <w:r w:rsidR="004E29AF">
        <w:t>the zone tax offset</w:t>
      </w:r>
      <w:r w:rsidR="0041462A">
        <w:t>. During the second reading speech of the Bill that inserted section 79A</w:t>
      </w:r>
      <w:r w:rsidR="00343C87">
        <w:t xml:space="preserve"> into the </w:t>
      </w:r>
      <w:r w:rsidR="00343C87">
        <w:rPr>
          <w:i/>
        </w:rPr>
        <w:t>ITAA 1936</w:t>
      </w:r>
      <w:r w:rsidR="0041462A">
        <w:t xml:space="preserve">, </w:t>
      </w:r>
      <w:r w:rsidR="00E5416F">
        <w:t>the Opposition queried its constitutionality prompting the Treasurer to respond:</w:t>
      </w:r>
      <w:r>
        <w:t xml:space="preserve"> </w:t>
      </w:r>
      <w:r w:rsidR="0041462A">
        <w:t>‘</w:t>
      </w:r>
      <w:r w:rsidR="00E5416F">
        <w:t xml:space="preserve">I have been assured </w:t>
      </w:r>
      <w:r>
        <w:t>that the proposal is constitutionally sound.’</w:t>
      </w:r>
      <w:r>
        <w:rPr>
          <w:rStyle w:val="FootnoteReference"/>
        </w:rPr>
        <w:footnoteReference w:id="28"/>
      </w:r>
      <w:r>
        <w:t xml:space="preserve"> </w:t>
      </w:r>
      <w:r w:rsidR="00960209">
        <w:t>Nevertheless, the</w:t>
      </w:r>
      <w:r>
        <w:t xml:space="preserve"> constitutional validity of section 79A </w:t>
      </w:r>
      <w:r w:rsidR="00E5416F">
        <w:t xml:space="preserve">has </w:t>
      </w:r>
      <w:r w:rsidR="00A250F4">
        <w:t xml:space="preserve">been </w:t>
      </w:r>
      <w:r>
        <w:t>challenged</w:t>
      </w:r>
      <w:r w:rsidR="00552293">
        <w:t xml:space="preserve"> only once</w:t>
      </w:r>
      <w:r w:rsidR="00A250F4">
        <w:t xml:space="preserve">. </w:t>
      </w:r>
      <w:r w:rsidR="0041462A">
        <w:t xml:space="preserve">In </w:t>
      </w:r>
      <w:r w:rsidR="00A250F4" w:rsidRPr="007F1103">
        <w:rPr>
          <w:i/>
        </w:rPr>
        <w:t>Commissioner of Taxation v Clyne</w:t>
      </w:r>
      <w:r w:rsidR="00A250F4">
        <w:t>, the taxpayer sought</w:t>
      </w:r>
      <w:r w:rsidR="0041462A">
        <w:t xml:space="preserve"> to avoid income tax </w:t>
      </w:r>
      <w:r w:rsidR="00A250F4">
        <w:t>by arguing</w:t>
      </w:r>
      <w:r w:rsidR="0041462A">
        <w:t xml:space="preserve"> that the </w:t>
      </w:r>
      <w:r w:rsidR="00E5416F">
        <w:rPr>
          <w:i/>
        </w:rPr>
        <w:t xml:space="preserve">ITAA 1936 </w:t>
      </w:r>
      <w:r w:rsidR="00E5416F">
        <w:t>as a whole</w:t>
      </w:r>
      <w:r w:rsidR="0041462A">
        <w:t xml:space="preserve"> was invalid because</w:t>
      </w:r>
      <w:r w:rsidR="00A250F4">
        <w:t xml:space="preserve"> section 79A discriminated between parts of states. It was ‘a forlorn hope’</w:t>
      </w:r>
      <w:r w:rsidR="002A4ECF">
        <w:t>,</w:t>
      </w:r>
      <w:bookmarkStart w:id="10" w:name="_Ref449554099"/>
      <w:r w:rsidR="00A250F4">
        <w:rPr>
          <w:rStyle w:val="FootnoteReference"/>
        </w:rPr>
        <w:footnoteReference w:id="29"/>
      </w:r>
      <w:bookmarkEnd w:id="10"/>
      <w:r w:rsidR="00A250F4">
        <w:t xml:space="preserve"> </w:t>
      </w:r>
      <w:r w:rsidR="002A4ECF">
        <w:t>which would have brought ‘</w:t>
      </w:r>
      <w:r w:rsidR="00A250F4">
        <w:t>down the whole edifice of income tax.’</w:t>
      </w:r>
      <w:r w:rsidR="00A250F4">
        <w:rPr>
          <w:rStyle w:val="FootnoteReference"/>
        </w:rPr>
        <w:footnoteReference w:id="30"/>
      </w:r>
    </w:p>
    <w:p w14:paraId="6E9A1ED5" w14:textId="5052A40F" w:rsidR="00E033FA" w:rsidRDefault="00A250F4" w:rsidP="003F2AA9">
      <w:pPr>
        <w:spacing w:line="480" w:lineRule="auto"/>
        <w:ind w:firstLine="720"/>
      </w:pPr>
      <w:r>
        <w:t xml:space="preserve">Unsurprisingly, given </w:t>
      </w:r>
      <w:r w:rsidR="00343C87">
        <w:t>that</w:t>
      </w:r>
      <w:r>
        <w:t xml:space="preserve"> drastic consequ</w:t>
      </w:r>
      <w:r w:rsidR="00343C87">
        <w:t>ence</w:t>
      </w:r>
      <w:r>
        <w:t xml:space="preserve">, the High Court </w:t>
      </w:r>
      <w:r w:rsidR="00E5416F">
        <w:t>unanimously rejected the taxpayer’s argument</w:t>
      </w:r>
      <w:r>
        <w:t xml:space="preserve">. However, the majority did so on technical grounds </w:t>
      </w:r>
      <w:r w:rsidR="00E033FA">
        <w:t xml:space="preserve">related to the invalidity of partially unconstitutional amending legislation </w:t>
      </w:r>
      <w:r>
        <w:t>without considering whether, in substance, section 79A discriminated between parts of states.</w:t>
      </w:r>
      <w:r w:rsidR="00E033FA">
        <w:rPr>
          <w:rStyle w:val="FootnoteReference"/>
        </w:rPr>
        <w:footnoteReference w:id="31"/>
      </w:r>
      <w:r>
        <w:t xml:space="preserve"> </w:t>
      </w:r>
      <w:r w:rsidR="00E033FA">
        <w:t>Only Webb J</w:t>
      </w:r>
      <w:r w:rsidR="00E5416F">
        <w:t xml:space="preserve"> held</w:t>
      </w:r>
      <w:r w:rsidR="00E033FA">
        <w:t xml:space="preserve"> that section 79A did not discriminate between states or parts of states, finding instead that it </w:t>
      </w:r>
      <w:r w:rsidR="00916D29">
        <w:t>differentiated between</w:t>
      </w:r>
      <w:r w:rsidR="00E033FA">
        <w:t xml:space="preserve"> natural or business circumstances that operate with difference force in different localities.</w:t>
      </w:r>
      <w:r w:rsidR="00E033FA">
        <w:rPr>
          <w:rStyle w:val="FootnoteReference"/>
        </w:rPr>
        <w:footnoteReference w:id="32"/>
      </w:r>
    </w:p>
    <w:p w14:paraId="41D2B3BF" w14:textId="3A9A5766" w:rsidR="00F8695F" w:rsidRDefault="00F8695F" w:rsidP="003F2AA9">
      <w:pPr>
        <w:pStyle w:val="NoSpacing"/>
        <w:spacing w:line="480" w:lineRule="auto"/>
        <w:ind w:firstLine="720"/>
      </w:pPr>
      <w:r>
        <w:t xml:space="preserve">There has been very little extra-judicial commentary on the zone tax offset’s constitutional validity. </w:t>
      </w:r>
      <w:r w:rsidR="00CE7087">
        <w:t xml:space="preserve">Rose and </w:t>
      </w:r>
      <w:r w:rsidR="00343C87">
        <w:t>Professor</w:t>
      </w:r>
      <w:r w:rsidR="00CE7087">
        <w:t>s</w:t>
      </w:r>
      <w:r w:rsidR="00343C87">
        <w:t xml:space="preserve"> Lane</w:t>
      </w:r>
      <w:r w:rsidR="00CE7087">
        <w:t xml:space="preserve"> and Gray</w:t>
      </w:r>
      <w:r w:rsidR="00343C87">
        <w:t xml:space="preserve"> concluded </w:t>
      </w:r>
      <w:r w:rsidR="00E5416F">
        <w:t>(</w:t>
      </w:r>
      <w:r w:rsidR="001C2FF5">
        <w:t>for slightly different reasons</w:t>
      </w:r>
      <w:r w:rsidR="00E5416F">
        <w:t>)</w:t>
      </w:r>
      <w:r w:rsidR="001C2FF5">
        <w:t xml:space="preserve"> </w:t>
      </w:r>
      <w:r w:rsidR="00343C87">
        <w:t xml:space="preserve">that the offset </w:t>
      </w:r>
      <w:r w:rsidR="00CE7087">
        <w:t>was</w:t>
      </w:r>
      <w:r w:rsidR="00343C87">
        <w:t xml:space="preserve"> unconstitutional,</w:t>
      </w:r>
      <w:bookmarkStart w:id="11" w:name="_Ref449533718"/>
      <w:r w:rsidR="00343C87">
        <w:rPr>
          <w:rStyle w:val="FootnoteReference"/>
        </w:rPr>
        <w:footnoteReference w:id="33"/>
      </w:r>
      <w:bookmarkEnd w:id="11"/>
      <w:r w:rsidR="00343C87">
        <w:t xml:space="preserve"> while Professor Sawer and Evans </w:t>
      </w:r>
      <w:r w:rsidR="00E5416F">
        <w:t xml:space="preserve">more </w:t>
      </w:r>
      <w:r w:rsidR="00E5416F">
        <w:lastRenderedPageBreak/>
        <w:t xml:space="preserve">tentatively suggested that the offset </w:t>
      </w:r>
      <w:r w:rsidR="00CE7087">
        <w:t>might be</w:t>
      </w:r>
      <w:r w:rsidR="00E5416F">
        <w:t xml:space="preserve"> unconstitutional</w:t>
      </w:r>
      <w:r w:rsidR="00343C87">
        <w:t>.</w:t>
      </w:r>
      <w:bookmarkStart w:id="12" w:name="_Ref449538741"/>
      <w:r w:rsidR="001173D1">
        <w:rPr>
          <w:rStyle w:val="FootnoteReference"/>
        </w:rPr>
        <w:footnoteReference w:id="34"/>
      </w:r>
      <w:bookmarkEnd w:id="12"/>
      <w:r w:rsidR="00C41A23">
        <w:t xml:space="preserve"> The only comprehensive </w:t>
      </w:r>
      <w:r w:rsidR="002579ED">
        <w:t>i</w:t>
      </w:r>
      <w:r>
        <w:t>nquiry</w:t>
      </w:r>
      <w:r w:rsidR="00D642D5">
        <w:t xml:space="preserve"> into the zone tax offset</w:t>
      </w:r>
      <w:r>
        <w:t xml:space="preserve"> ‘noted there was doubt about the issue</w:t>
      </w:r>
      <w:r w:rsidR="00F60C65" w:rsidRPr="00F60C65">
        <w:t xml:space="preserve"> </w:t>
      </w:r>
      <w:r w:rsidR="00F60C65">
        <w:t>and that it could have no assurance that the provision was constitutionally sound.</w:t>
      </w:r>
      <w:r w:rsidR="002579ED">
        <w:t>’</w:t>
      </w:r>
      <w:bookmarkStart w:id="13" w:name="_Ref449355252"/>
      <w:r w:rsidR="00F60C65">
        <w:rPr>
          <w:rStyle w:val="FootnoteReference"/>
        </w:rPr>
        <w:footnoteReference w:id="35"/>
      </w:r>
      <w:bookmarkEnd w:id="13"/>
      <w:r>
        <w:t xml:space="preserve"> </w:t>
      </w:r>
      <w:r w:rsidR="00F60C65">
        <w:t>It</w:t>
      </w:r>
      <w:r w:rsidR="002E1299">
        <w:t xml:space="preserve"> concluded that </w:t>
      </w:r>
      <w:r w:rsidR="002E1299">
        <w:rPr>
          <w:i/>
        </w:rPr>
        <w:t xml:space="preserve">prima facie </w:t>
      </w:r>
      <w:r w:rsidR="002E1299">
        <w:t>‘section 79A might seem to go counter to the spirit, at least, of sections 51(ii) and 99 of the Constitution.’</w:t>
      </w:r>
      <w:r w:rsidR="00F60C65">
        <w:rPr>
          <w:rStyle w:val="FootnoteReference"/>
        </w:rPr>
        <w:footnoteReference w:id="36"/>
      </w:r>
    </w:p>
    <w:p w14:paraId="4B467BCE" w14:textId="310AFEF8" w:rsidR="00F8695F" w:rsidRPr="008E74C1" w:rsidRDefault="0001597D" w:rsidP="003F2AA9">
      <w:pPr>
        <w:pStyle w:val="NoSpacing"/>
        <w:spacing w:line="480" w:lineRule="auto"/>
        <w:ind w:firstLine="720"/>
      </w:pPr>
      <w:r>
        <w:t xml:space="preserve">Given this doubt, it is perhaps surprising that there </w:t>
      </w:r>
      <w:r w:rsidR="004C39CC">
        <w:t>have not been more challenges</w:t>
      </w:r>
      <w:r>
        <w:t xml:space="preserve"> to the constitutional validity of the offset, </w:t>
      </w:r>
      <w:r w:rsidR="00F8695F">
        <w:t>‘though this may be more for procedural reasons’</w:t>
      </w:r>
      <w:bookmarkStart w:id="14" w:name="_Ref444447232"/>
      <w:r w:rsidR="00301F49">
        <w:t>.</w:t>
      </w:r>
      <w:r w:rsidR="00F8695F">
        <w:rPr>
          <w:rStyle w:val="FootnoteReference"/>
        </w:rPr>
        <w:footnoteReference w:id="37"/>
      </w:r>
      <w:bookmarkEnd w:id="14"/>
      <w:r w:rsidR="00F8695F">
        <w:t xml:space="preserve"> </w:t>
      </w:r>
      <w:r w:rsidR="00F8695F" w:rsidRPr="00EE2601">
        <w:t xml:space="preserve">A person who is not eligible to receive the zone tax offset </w:t>
      </w:r>
      <w:r w:rsidR="00A45729">
        <w:t>may</w:t>
      </w:r>
      <w:r w:rsidR="00F8695F" w:rsidRPr="00EE2601">
        <w:t xml:space="preserve"> not have standing, while a</w:t>
      </w:r>
      <w:r w:rsidR="00F8695F">
        <w:t xml:space="preserve"> person who is eligible would have no desire to deprive them</w:t>
      </w:r>
      <w:r w:rsidR="00E033FA">
        <w:t>selves</w:t>
      </w:r>
      <w:r w:rsidR="00F8695F">
        <w:t xml:space="preserve"> of </w:t>
      </w:r>
      <w:r w:rsidR="00A45729">
        <w:t>the offset’s</w:t>
      </w:r>
      <w:r w:rsidR="00F8695F">
        <w:t xml:space="preserve"> financial benefit.</w:t>
      </w:r>
      <w:r w:rsidR="00F8695F">
        <w:rPr>
          <w:rStyle w:val="FootnoteReference"/>
        </w:rPr>
        <w:footnoteReference w:id="38"/>
      </w:r>
      <w:r w:rsidR="00F8695F">
        <w:t xml:space="preserve"> State attorneys-general would have standing to challenge the offset’s validity, but may not wish to do so if </w:t>
      </w:r>
      <w:r w:rsidR="002E1299">
        <w:t xml:space="preserve">it advantages </w:t>
      </w:r>
      <w:r w:rsidR="00F8695F">
        <w:t xml:space="preserve">their state </w:t>
      </w:r>
      <w:r w:rsidR="002E1299">
        <w:t xml:space="preserve">or </w:t>
      </w:r>
      <w:r w:rsidR="00E348BF">
        <w:t>they receive</w:t>
      </w:r>
      <w:r w:rsidR="00F8695F">
        <w:t xml:space="preserve"> </w:t>
      </w:r>
      <w:r w:rsidR="00CF7E9F">
        <w:t>other</w:t>
      </w:r>
      <w:r w:rsidR="00F8695F">
        <w:t xml:space="preserve"> benefits from the Commonwealth.</w:t>
      </w:r>
      <w:r w:rsidR="00F8695F">
        <w:rPr>
          <w:rStyle w:val="FootnoteReference"/>
        </w:rPr>
        <w:footnoteReference w:id="39"/>
      </w:r>
      <w:r w:rsidR="00F8695F">
        <w:t xml:space="preserve"> Alternatively, the costs of challenging </w:t>
      </w:r>
      <w:r w:rsidR="00CF7E9F">
        <w:t>the offset</w:t>
      </w:r>
      <w:r w:rsidR="00F8695F">
        <w:t xml:space="preserve"> </w:t>
      </w:r>
      <w:r w:rsidR="00CF7E9F">
        <w:t>might</w:t>
      </w:r>
      <w:r w:rsidR="00F8695F">
        <w:t xml:space="preserve"> be considered disproportionate to any discriminatory effect </w:t>
      </w:r>
      <w:r w:rsidR="00CF7E9F">
        <w:t>its small quantum creates</w:t>
      </w:r>
      <w:r w:rsidR="00F8695F">
        <w:t xml:space="preserve">. </w:t>
      </w:r>
    </w:p>
    <w:p w14:paraId="28894DE3" w14:textId="7BC79679" w:rsidR="00277D76" w:rsidRDefault="00F8695F" w:rsidP="003F2AA9">
      <w:pPr>
        <w:pStyle w:val="Heading1"/>
        <w:spacing w:line="480" w:lineRule="auto"/>
      </w:pPr>
      <w:bookmarkStart w:id="15" w:name="_Toc449554421"/>
      <w:r>
        <w:t>III</w:t>
      </w:r>
      <w:r w:rsidR="00277D76">
        <w:t xml:space="preserve"> Explanatory Materials</w:t>
      </w:r>
      <w:bookmarkEnd w:id="15"/>
    </w:p>
    <w:p w14:paraId="0DF2BB72" w14:textId="7B2E491B" w:rsidR="000B4371" w:rsidRDefault="00935B0A" w:rsidP="003F2AA9">
      <w:pPr>
        <w:spacing w:line="480" w:lineRule="auto"/>
      </w:pPr>
      <w:r>
        <w:tab/>
      </w:r>
      <w:r w:rsidR="00181E88">
        <w:t xml:space="preserve">Having explored the relevant constitutional and legislative context, </w:t>
      </w:r>
      <w:r w:rsidR="00916BA8">
        <w:t xml:space="preserve">it is necessary to determine the correct interpretation of the section 51(ii) prohibition on discrimination. </w:t>
      </w:r>
      <w:r w:rsidR="000B4371">
        <w:t xml:space="preserve">In this Part, I will argue that the explanatory materials to the </w:t>
      </w:r>
      <w:r w:rsidR="000B4371">
        <w:rPr>
          <w:i/>
        </w:rPr>
        <w:t xml:space="preserve">Constitution </w:t>
      </w:r>
      <w:r w:rsidR="000B4371">
        <w:t xml:space="preserve">show that its framers intended </w:t>
      </w:r>
      <w:r w:rsidR="00E5416F">
        <w:t>to</w:t>
      </w:r>
      <w:r w:rsidR="000B4371">
        <w:t xml:space="preserve"> prohibit differential treatment of </w:t>
      </w:r>
      <w:r w:rsidR="00E5416F">
        <w:t>persons</w:t>
      </w:r>
      <w:r w:rsidR="00E46938">
        <w:t xml:space="preserve"> (</w:t>
      </w:r>
      <w:r w:rsidR="000B4371">
        <w:t>rat</w:t>
      </w:r>
      <w:r w:rsidR="00E46938">
        <w:t>her than the states as polities)</w:t>
      </w:r>
      <w:r w:rsidR="000B4371">
        <w:t xml:space="preserve"> purely on the basis of their state connection</w:t>
      </w:r>
      <w:r w:rsidR="00E46938">
        <w:t>,</w:t>
      </w:r>
      <w:r w:rsidR="000B4371">
        <w:t xml:space="preserve"> regardless of any other circumstance</w:t>
      </w:r>
      <w:r w:rsidR="0014729B">
        <w:t xml:space="preserve">, </w:t>
      </w:r>
      <w:r w:rsidR="00E46938">
        <w:t>if</w:t>
      </w:r>
      <w:r w:rsidR="000B4371">
        <w:t xml:space="preserve"> </w:t>
      </w:r>
      <w:r w:rsidR="0014729B">
        <w:t>such treatment was</w:t>
      </w:r>
      <w:r w:rsidR="000B4371">
        <w:t xml:space="preserve"> not appropriate and adapted to a </w:t>
      </w:r>
      <w:r w:rsidR="00446810">
        <w:t>proper</w:t>
      </w:r>
      <w:r w:rsidR="000B4371">
        <w:t xml:space="preserve"> objective. </w:t>
      </w:r>
      <w:r w:rsidR="002D40FD">
        <w:t xml:space="preserve">Contemporary materials explaining </w:t>
      </w:r>
      <w:r w:rsidR="002D40FD">
        <w:lastRenderedPageBreak/>
        <w:t xml:space="preserve">section 51(ii) are limited to the Constitutional Convention debates and </w:t>
      </w:r>
      <w:r w:rsidR="00A755FB">
        <w:t>original</w:t>
      </w:r>
      <w:r w:rsidR="002D40FD">
        <w:t xml:space="preserve"> commentaries on the </w:t>
      </w:r>
      <w:r w:rsidR="002D40FD">
        <w:rPr>
          <w:i/>
        </w:rPr>
        <w:t>Constitution</w:t>
      </w:r>
      <w:r w:rsidR="002D40FD">
        <w:t>.</w:t>
      </w:r>
      <w:r w:rsidR="00361E0B">
        <w:t xml:space="preserve"> </w:t>
      </w:r>
    </w:p>
    <w:p w14:paraId="1E28F166" w14:textId="142E3A87" w:rsidR="000E6D56" w:rsidRDefault="00617CAC" w:rsidP="003F2AA9">
      <w:pPr>
        <w:spacing w:line="480" w:lineRule="auto"/>
        <w:ind w:firstLine="720"/>
      </w:pPr>
      <w:r>
        <w:t xml:space="preserve">Precursor clauses to the section 51(ii) </w:t>
      </w:r>
      <w:r w:rsidR="00AE76CD">
        <w:t>discrimination prohibition were approved at each of the Constitutional Conventions of the 1890s</w:t>
      </w:r>
      <w:r w:rsidR="00D17EB8">
        <w:t>.</w:t>
      </w:r>
      <w:r w:rsidR="000078E3">
        <w:rPr>
          <w:rStyle w:val="FootnoteReference"/>
        </w:rPr>
        <w:footnoteReference w:id="40"/>
      </w:r>
      <w:r w:rsidR="00D17EB8">
        <w:t xml:space="preserve"> </w:t>
      </w:r>
      <w:r w:rsidR="009574CB">
        <w:t xml:space="preserve">Originally drafted to require that taxation laws be uniform throughout the Commonwealth, it was not until the 1898 Melbourne Convention that </w:t>
      </w:r>
      <w:r w:rsidR="004C7D94">
        <w:t xml:space="preserve">the prohibition was </w:t>
      </w:r>
      <w:r w:rsidR="00695193">
        <w:t>even mentioned</w:t>
      </w:r>
      <w:r w:rsidR="009574CB">
        <w:t xml:space="preserve">. In Melbourne, </w:t>
      </w:r>
      <w:r w:rsidR="000C57F3">
        <w:t>Edmund Barton proposed that the uniformity requirement be replaced with</w:t>
      </w:r>
      <w:r w:rsidR="00CE5CC4">
        <w:t xml:space="preserve"> </w:t>
      </w:r>
      <w:r w:rsidR="009574CB">
        <w:t>a prohibition on discrimination</w:t>
      </w:r>
      <w:r w:rsidR="00B53DB6">
        <w:t xml:space="preserve">. </w:t>
      </w:r>
      <w:r w:rsidR="001C15CB">
        <w:t>This was the result of</w:t>
      </w:r>
      <w:r w:rsidR="00B53DB6">
        <w:t xml:space="preserve"> the </w:t>
      </w:r>
      <w:r w:rsidR="00454DE9">
        <w:t>concu</w:t>
      </w:r>
      <w:r w:rsidR="00F86E89">
        <w:t>rring opinion</w:t>
      </w:r>
      <w:r w:rsidR="00B53DB6">
        <w:t xml:space="preserve"> of Field J in </w:t>
      </w:r>
      <w:r w:rsidR="006A4FC8">
        <w:rPr>
          <w:i/>
        </w:rPr>
        <w:t>Pollock v Farmers’ Loan &amp; Trust Co</w:t>
      </w:r>
      <w:r w:rsidR="002E5119">
        <w:t>,</w:t>
      </w:r>
      <w:r w:rsidR="00B53DB6">
        <w:t xml:space="preserve"> which interpreted the requirement </w:t>
      </w:r>
      <w:r w:rsidR="003B5167">
        <w:t xml:space="preserve">contained </w:t>
      </w:r>
      <w:r w:rsidR="00B53DB6">
        <w:t xml:space="preserve">in </w:t>
      </w:r>
      <w:r w:rsidR="009574CB">
        <w:t xml:space="preserve">article 1 </w:t>
      </w:r>
      <w:r w:rsidR="009574CB" w:rsidRPr="00B53DB6">
        <w:t xml:space="preserve">§ </w:t>
      </w:r>
      <w:r w:rsidR="009574CB">
        <w:t xml:space="preserve">8(1) of </w:t>
      </w:r>
      <w:r w:rsidR="00F86E89">
        <w:t xml:space="preserve">the </w:t>
      </w:r>
      <w:r w:rsidR="00B53DB6" w:rsidRPr="00B53DB6">
        <w:rPr>
          <w:i/>
        </w:rPr>
        <w:t>United States Constitution</w:t>
      </w:r>
      <w:r w:rsidR="00B53DB6">
        <w:t xml:space="preserve"> </w:t>
      </w:r>
      <w:r w:rsidR="003B5167">
        <w:t>that</w:t>
      </w:r>
      <w:r w:rsidR="00B53DB6">
        <w:t xml:space="preserve"> duties be ‘uniform throughout the United States’</w:t>
      </w:r>
      <w:r w:rsidR="00F86E89">
        <w:t xml:space="preserve"> strictly to invalidate taxes that included exemptions of particular classes of taxpayer or tax-free threshold</w:t>
      </w:r>
      <w:r w:rsidR="00423AB1">
        <w:t>s</w:t>
      </w:r>
      <w:r w:rsidR="006A4FC8">
        <w:t>.</w:t>
      </w:r>
      <w:r w:rsidR="006A4FC8">
        <w:rPr>
          <w:rStyle w:val="FootnoteReference"/>
        </w:rPr>
        <w:footnoteReference w:id="41"/>
      </w:r>
      <w:r w:rsidR="005222FC">
        <w:t xml:space="preserve"> </w:t>
      </w:r>
    </w:p>
    <w:p w14:paraId="110451E2" w14:textId="4865D251" w:rsidR="00B55A70" w:rsidRDefault="005222FC" w:rsidP="003F2AA9">
      <w:pPr>
        <w:spacing w:line="480" w:lineRule="auto"/>
        <w:ind w:firstLine="720"/>
      </w:pPr>
      <w:r>
        <w:t xml:space="preserve">Barton </w:t>
      </w:r>
      <w:r w:rsidR="009574CB">
        <w:t xml:space="preserve">explained that the change was necessary because ‘[w]hat is really wanted is to prevent a discrimination between </w:t>
      </w:r>
      <w:r w:rsidR="009574CB" w:rsidRPr="009574CB">
        <w:rPr>
          <w:i/>
        </w:rPr>
        <w:t>citizens of the Commonwealth in the</w:t>
      </w:r>
      <w:r w:rsidR="009574CB">
        <w:rPr>
          <w:i/>
        </w:rPr>
        <w:t xml:space="preserve"> same circumstances</w:t>
      </w:r>
      <w:r w:rsidR="009574CB">
        <w:t>’</w:t>
      </w:r>
      <w:r w:rsidR="000E6D56">
        <w:t>, which he explained as ‘any form of tax which would make a difference between the citizen of one state and the citizen of another state’.</w:t>
      </w:r>
      <w:r w:rsidR="009574CB" w:rsidRPr="009574CB">
        <w:rPr>
          <w:vertAlign w:val="superscript"/>
        </w:rPr>
        <w:footnoteReference w:id="42"/>
      </w:r>
      <w:r w:rsidR="000E6D56">
        <w:t xml:space="preserve"> </w:t>
      </w:r>
      <w:r w:rsidR="00371CF4">
        <w:t>Barton’s amendment was agreed without debate.</w:t>
      </w:r>
      <w:bookmarkStart w:id="16" w:name="_Ref442030115"/>
      <w:r w:rsidR="00371CF4">
        <w:rPr>
          <w:rStyle w:val="FootnoteReference"/>
        </w:rPr>
        <w:footnoteReference w:id="43"/>
      </w:r>
      <w:bookmarkEnd w:id="16"/>
      <w:r w:rsidR="0026752C">
        <w:t xml:space="preserve"> </w:t>
      </w:r>
      <w:r w:rsidR="00B55A70">
        <w:t xml:space="preserve">Writing soon after Federation, Professor Moore argued that the uniformity requirement had been changed to a discrimination prohibition because the former ‘was more than the </w:t>
      </w:r>
      <w:r w:rsidR="00B55A70" w:rsidRPr="00C439F6">
        <w:t>federal spirit</w:t>
      </w:r>
      <w:r w:rsidR="00B55A70">
        <w:t xml:space="preserve"> required; it prevented not merely discrimination among the States, but </w:t>
      </w:r>
      <w:r w:rsidR="00B55A70" w:rsidRPr="00E46938">
        <w:t>discrimination in the case of individuals’</w:t>
      </w:r>
      <w:r w:rsidR="00B55A70">
        <w:t xml:space="preserve"> and for this reason the final Convention ‘adopted terms of geographical limitation.’</w:t>
      </w:r>
      <w:bookmarkStart w:id="17" w:name="_Ref442031009"/>
      <w:r w:rsidR="00B55A70">
        <w:rPr>
          <w:rStyle w:val="FootnoteReference"/>
        </w:rPr>
        <w:footnoteReference w:id="44"/>
      </w:r>
      <w:bookmarkEnd w:id="17"/>
    </w:p>
    <w:p w14:paraId="2B44DDC7" w14:textId="50C4A31C" w:rsidR="00173436" w:rsidRDefault="00AF7D9B" w:rsidP="003F2AA9">
      <w:pPr>
        <w:spacing w:line="480" w:lineRule="auto"/>
        <w:ind w:firstLine="720"/>
      </w:pPr>
      <w:r>
        <w:lastRenderedPageBreak/>
        <w:t xml:space="preserve">This change from a uniformity requirement to a discrimination prohibition, as well as </w:t>
      </w:r>
      <w:r w:rsidR="00E8320C">
        <w:t>the</w:t>
      </w:r>
      <w:r>
        <w:t xml:space="preserve"> justification for the chang</w:t>
      </w:r>
      <w:r w:rsidR="005135A3">
        <w:t xml:space="preserve">e, </w:t>
      </w:r>
      <w:r w:rsidR="000C52D8">
        <w:t>provides important guidance on the proper interpretation</w:t>
      </w:r>
      <w:r w:rsidR="00E8320C">
        <w:t xml:space="preserve"> of section 51(ii)</w:t>
      </w:r>
      <w:r w:rsidR="005135A3">
        <w:t>.</w:t>
      </w:r>
      <w:r w:rsidR="00C439F6">
        <w:rPr>
          <w:rStyle w:val="FootnoteReference"/>
        </w:rPr>
        <w:footnoteReference w:id="45"/>
      </w:r>
      <w:r w:rsidR="00DA6E82">
        <w:t xml:space="preserve"> </w:t>
      </w:r>
      <w:r w:rsidR="005135A3">
        <w:t xml:space="preserve">Firstly, it </w:t>
      </w:r>
      <w:r w:rsidR="000C52D8">
        <w:t>connotes</w:t>
      </w:r>
      <w:r w:rsidR="005135A3">
        <w:t xml:space="preserve"> that uniformity is a stricter test than discrimination</w:t>
      </w:r>
      <w:r w:rsidR="00C439F6">
        <w:t>, meaning that non-uniform law</w:t>
      </w:r>
      <w:r w:rsidR="00F069BA">
        <w:t>s</w:t>
      </w:r>
      <w:r w:rsidR="00C439F6">
        <w:t xml:space="preserve"> may still be non-discriminatory</w:t>
      </w:r>
      <w:r w:rsidR="005135A3">
        <w:t xml:space="preserve">. Secondly, </w:t>
      </w:r>
      <w:r w:rsidR="0099342F">
        <w:t>Barton’s</w:t>
      </w:r>
      <w:r w:rsidR="005135A3">
        <w:t xml:space="preserve"> reference to ‘discrimination between citizens’ suggests that discrimination </w:t>
      </w:r>
      <w:r w:rsidR="00CF4093">
        <w:t>involves the differential</w:t>
      </w:r>
      <w:r w:rsidR="005135A3">
        <w:t xml:space="preserve"> treatment of </w:t>
      </w:r>
      <w:r w:rsidR="00E46938">
        <w:t>persons</w:t>
      </w:r>
      <w:r w:rsidR="005135A3">
        <w:t xml:space="preserve"> and not the states as polities.</w:t>
      </w:r>
      <w:r w:rsidR="00017707">
        <w:rPr>
          <w:rStyle w:val="FootnoteReference"/>
        </w:rPr>
        <w:footnoteReference w:id="46"/>
      </w:r>
      <w:r w:rsidR="005135A3">
        <w:t xml:space="preserve"> Finally, </w:t>
      </w:r>
      <w:r w:rsidR="0099342F">
        <w:t>Barton’s</w:t>
      </w:r>
      <w:r w:rsidR="005135A3">
        <w:t xml:space="preserve"> reference to ‘in the same circumstances’</w:t>
      </w:r>
      <w:r w:rsidR="00C439F6">
        <w:t xml:space="preserve"> contemplates </w:t>
      </w:r>
      <w:r w:rsidR="00DA6E82">
        <w:t xml:space="preserve">that taxation laws could </w:t>
      </w:r>
      <w:r w:rsidR="00D5534F">
        <w:t xml:space="preserve">still </w:t>
      </w:r>
      <w:r w:rsidR="0095432F">
        <w:t>treat people differently</w:t>
      </w:r>
      <w:r w:rsidR="00DA6E82">
        <w:t xml:space="preserve"> on the basis of circumstances other than their particular state </w:t>
      </w:r>
      <w:r w:rsidR="00D10E5E">
        <w:t xml:space="preserve">connection </w:t>
      </w:r>
      <w:r w:rsidR="00D5534F">
        <w:t>and not contravene section 51(ii)</w:t>
      </w:r>
      <w:r w:rsidR="00DA6E82">
        <w:t xml:space="preserve">. </w:t>
      </w:r>
    </w:p>
    <w:p w14:paraId="07FAFAFC" w14:textId="64D582AB" w:rsidR="000B6B0B" w:rsidRDefault="00517806" w:rsidP="003F2AA9">
      <w:pPr>
        <w:spacing w:line="480" w:lineRule="auto"/>
      </w:pPr>
      <w:r>
        <w:tab/>
        <w:t xml:space="preserve">While the explanatory materials that deal exclusively with section 51(ii) do not provide any guidance on the relevance of objectives and proportionality </w:t>
      </w:r>
      <w:r w:rsidR="008863C1">
        <w:t xml:space="preserve">to </w:t>
      </w:r>
      <w:r w:rsidR="007603D2">
        <w:t>section 51(ii)</w:t>
      </w:r>
      <w:r w:rsidR="008863C1">
        <w:t xml:space="preserve">, the explanatory material regarding the </w:t>
      </w:r>
      <w:r w:rsidR="007603D2">
        <w:t>conceptually</w:t>
      </w:r>
      <w:r w:rsidR="008863C1">
        <w:t xml:space="preserve"> identical prohibition in section 99 supports the idea that objectives and proportionality will be relevant to determining whether </w:t>
      </w:r>
      <w:r w:rsidR="000B6B0B">
        <w:t>differential treatment constitutes</w:t>
      </w:r>
      <w:r w:rsidR="008863C1">
        <w:t xml:space="preserve"> discrimination. </w:t>
      </w:r>
      <w:r w:rsidR="00515648">
        <w:t xml:space="preserve">Nonetheless, the relevance of that material to section 51(ii) </w:t>
      </w:r>
      <w:r w:rsidR="00C654FC">
        <w:t>could be</w:t>
      </w:r>
      <w:r w:rsidR="00515648">
        <w:t xml:space="preserve"> disputed,</w:t>
      </w:r>
      <w:r w:rsidR="00515648">
        <w:rPr>
          <w:rStyle w:val="FootnoteReference"/>
        </w:rPr>
        <w:footnoteReference w:id="47"/>
      </w:r>
      <w:r w:rsidR="00515648">
        <w:t xml:space="preserve"> particularly since the High Court </w:t>
      </w:r>
      <w:r w:rsidR="007F3FA3">
        <w:t xml:space="preserve">held </w:t>
      </w:r>
      <w:r w:rsidR="006460C9">
        <w:t xml:space="preserve">in </w:t>
      </w:r>
      <w:r w:rsidR="006460C9">
        <w:rPr>
          <w:i/>
        </w:rPr>
        <w:t>Elliott v Commonwealth</w:t>
      </w:r>
      <w:r w:rsidR="006460C9">
        <w:t xml:space="preserve"> that ‘[p]reference necessarily involves discrimination or lack of uniformity’ but ‘it does not follow that every discrimination … is a preference’.</w:t>
      </w:r>
      <w:r w:rsidR="006460C9">
        <w:rPr>
          <w:rStyle w:val="FootnoteReference"/>
        </w:rPr>
        <w:footnoteReference w:id="48"/>
      </w:r>
      <w:r w:rsidR="006460C9">
        <w:t xml:space="preserve"> </w:t>
      </w:r>
    </w:p>
    <w:p w14:paraId="557917B8" w14:textId="2F3C36E9" w:rsidR="002677F1" w:rsidRDefault="006460C9" w:rsidP="003F2AA9">
      <w:pPr>
        <w:spacing w:line="480" w:lineRule="auto"/>
        <w:ind w:firstLine="720"/>
      </w:pPr>
      <w:r>
        <w:t>This reasoning has been described as ‘exasperating’</w:t>
      </w:r>
      <w:r>
        <w:rPr>
          <w:rStyle w:val="FootnoteReference"/>
        </w:rPr>
        <w:footnoteReference w:id="49"/>
      </w:r>
      <w:r>
        <w:t xml:space="preserve"> and, so far as it applies to taxation laws, appears flawed on a number of grounds. </w:t>
      </w:r>
      <w:r w:rsidR="007406A0">
        <w:t>Firstly, t</w:t>
      </w:r>
      <w:r w:rsidR="008C7C86">
        <w:t>he section 99 prohibition on preferences applies to laws of revenue (including taxation),</w:t>
      </w:r>
      <w:r w:rsidR="0010311A">
        <w:rPr>
          <w:rStyle w:val="FootnoteReference"/>
        </w:rPr>
        <w:footnoteReference w:id="50"/>
      </w:r>
      <w:r w:rsidR="0010311A">
        <w:t xml:space="preserve"> </w:t>
      </w:r>
      <w:r w:rsidR="008C7C86">
        <w:t xml:space="preserve">trade and commerce. </w:t>
      </w:r>
      <w:r>
        <w:rPr>
          <w:i/>
        </w:rPr>
        <w:t xml:space="preserve">Elliott </w:t>
      </w:r>
      <w:r>
        <w:t>did not involve a taxation</w:t>
      </w:r>
      <w:r w:rsidR="007F3FA3">
        <w:t xml:space="preserve"> or revenue law; rather, </w:t>
      </w:r>
      <w:r>
        <w:t xml:space="preserve">a law of trade and commerce. Accordingly, any </w:t>
      </w:r>
      <w:r>
        <w:lastRenderedPageBreak/>
        <w:t xml:space="preserve">statements regarding the relationship between sections 51(ii) and 99 are </w:t>
      </w:r>
      <w:r>
        <w:rPr>
          <w:i/>
        </w:rPr>
        <w:t>obiter</w:t>
      </w:r>
      <w:r>
        <w:t>.</w:t>
      </w:r>
      <w:r w:rsidR="002677F1">
        <w:t xml:space="preserve"> </w:t>
      </w:r>
      <w:r w:rsidR="007F3FA3">
        <w:t>That</w:t>
      </w:r>
      <w:r w:rsidR="000A1965">
        <w:t xml:space="preserve"> point is particularly important given that </w:t>
      </w:r>
      <w:r w:rsidR="007F3FA3">
        <w:t>all</w:t>
      </w:r>
      <w:r w:rsidR="002677F1">
        <w:t xml:space="preserve"> of the cases concerning the validity of taxation laws prior to </w:t>
      </w:r>
      <w:r w:rsidR="002677F1">
        <w:rPr>
          <w:i/>
        </w:rPr>
        <w:t xml:space="preserve">Elliott </w:t>
      </w:r>
      <w:r w:rsidR="002677F1">
        <w:t xml:space="preserve">had treated </w:t>
      </w:r>
      <w:r w:rsidR="007F3FA3">
        <w:t>section</w:t>
      </w:r>
      <w:r w:rsidR="00E46938">
        <w:t>s</w:t>
      </w:r>
      <w:r w:rsidR="007F3FA3">
        <w:t xml:space="preserve"> 51(ii) and 99</w:t>
      </w:r>
      <w:r w:rsidR="002677F1">
        <w:t xml:space="preserve"> as coextensive.</w:t>
      </w:r>
      <w:r w:rsidR="002677F1">
        <w:rPr>
          <w:rStyle w:val="FootnoteReference"/>
        </w:rPr>
        <w:footnoteReference w:id="51"/>
      </w:r>
    </w:p>
    <w:p w14:paraId="497C8E1C" w14:textId="5FBA9369" w:rsidR="006460C9" w:rsidRPr="002B5788" w:rsidRDefault="006460C9" w:rsidP="003F2AA9">
      <w:pPr>
        <w:spacing w:line="480" w:lineRule="auto"/>
        <w:ind w:firstLine="720"/>
      </w:pPr>
      <w:r>
        <w:t xml:space="preserve">Secondly, the criteria proffered </w:t>
      </w:r>
      <w:r w:rsidR="004B6576">
        <w:t xml:space="preserve">in </w:t>
      </w:r>
      <w:r w:rsidR="004B6576">
        <w:rPr>
          <w:i/>
        </w:rPr>
        <w:t xml:space="preserve">Elliott </w:t>
      </w:r>
      <w:r>
        <w:t>for distinguishing between discrimination and preference (</w:t>
      </w:r>
      <w:r w:rsidR="00CA120A">
        <w:t xml:space="preserve">namely, ‘tangible </w:t>
      </w:r>
      <w:r w:rsidR="00CA120A" w:rsidRPr="007F3FA3">
        <w:rPr>
          <w:i/>
        </w:rPr>
        <w:t>commercial</w:t>
      </w:r>
      <w:r w:rsidR="00CA120A">
        <w:t xml:space="preserve"> advantage’</w:t>
      </w:r>
      <w:r w:rsidR="00CA120A">
        <w:rPr>
          <w:rStyle w:val="FootnoteReference"/>
        </w:rPr>
        <w:footnoteReference w:id="52"/>
      </w:r>
      <w:r w:rsidR="00CA120A">
        <w:t xml:space="preserve"> or ‘material or sensible benefit of a </w:t>
      </w:r>
      <w:r w:rsidR="00CA120A" w:rsidRPr="007F3FA3">
        <w:rPr>
          <w:i/>
        </w:rPr>
        <w:t>commercial or trading</w:t>
      </w:r>
      <w:r w:rsidR="00CA120A">
        <w:t xml:space="preserve"> character’</w:t>
      </w:r>
      <w:r w:rsidR="00CA120A">
        <w:rPr>
          <w:rStyle w:val="FootnoteReference"/>
        </w:rPr>
        <w:footnoteReference w:id="53"/>
      </w:r>
      <w:r>
        <w:t xml:space="preserve">) appear solely directed at laws with respect to </w:t>
      </w:r>
      <w:r w:rsidRPr="00C6561D">
        <w:rPr>
          <w:i/>
        </w:rPr>
        <w:t>trade</w:t>
      </w:r>
      <w:r>
        <w:t xml:space="preserve"> and </w:t>
      </w:r>
      <w:r w:rsidRPr="00C6561D">
        <w:rPr>
          <w:i/>
        </w:rPr>
        <w:t>commerce</w:t>
      </w:r>
      <w:r>
        <w:t xml:space="preserve">. How those criteria could apply to laws of revenue is unclear and has never been explained. </w:t>
      </w:r>
      <w:r w:rsidR="00CA120A">
        <w:t>A</w:t>
      </w:r>
      <w:r>
        <w:t>ny differential treatment in taxation laws will necessarily confer commercial advantage or benefit on someone</w:t>
      </w:r>
      <w:r w:rsidR="00EA56BD">
        <w:t xml:space="preserve">, somewhere, </w:t>
      </w:r>
      <w:r>
        <w:t>in the form of reduced tax</w:t>
      </w:r>
      <w:r w:rsidR="00EA56BD">
        <w:t>ation</w:t>
      </w:r>
      <w:r>
        <w:t>.</w:t>
      </w:r>
      <w:r w:rsidR="000055A0">
        <w:t xml:space="preserve"> It follows that</w:t>
      </w:r>
      <w:r w:rsidR="00CA120A">
        <w:t>,</w:t>
      </w:r>
      <w:r w:rsidR="000055A0">
        <w:t xml:space="preserve"> even applying the </w:t>
      </w:r>
      <w:r w:rsidR="000055A0">
        <w:rPr>
          <w:i/>
        </w:rPr>
        <w:t xml:space="preserve">Elliott </w:t>
      </w:r>
      <w:r w:rsidR="000055A0">
        <w:t>test, all discrimination in taxation laws will necessarily result in preference</w:t>
      </w:r>
      <w:r>
        <w:t>.</w:t>
      </w:r>
    </w:p>
    <w:p w14:paraId="4A649D11" w14:textId="61E533A4" w:rsidR="006460C9" w:rsidRDefault="006460C9" w:rsidP="003F2AA9">
      <w:pPr>
        <w:spacing w:line="480" w:lineRule="auto"/>
      </w:pPr>
      <w:r>
        <w:tab/>
        <w:t xml:space="preserve">Moreover, attempting to distinguish between </w:t>
      </w:r>
      <w:r w:rsidR="00CA120A">
        <w:t>sections 51(ii) and 99 is</w:t>
      </w:r>
      <w:r>
        <w:t xml:space="preserve"> contrary to the original intention of the framers of the </w:t>
      </w:r>
      <w:r>
        <w:rPr>
          <w:i/>
        </w:rPr>
        <w:t>Constitution</w:t>
      </w:r>
      <w:r>
        <w:t>. Quick and Garran stated that: ‘[a]s regards taxation, the prohibition against preferences adds little, if anything, to the provision in sec. 51-i</w:t>
      </w:r>
      <w:r w:rsidR="00C021D2">
        <w:t>[i]</w:t>
      </w:r>
      <w:r>
        <w:t xml:space="preserve">’ but merely ‘extends to all laws and regulations of trade, commerce, and revenue, the condition which is </w:t>
      </w:r>
      <w:r w:rsidRPr="00D153A8">
        <w:t>elsewhere</w:t>
      </w:r>
      <w:r>
        <w:t xml:space="preserve"> imposed with regard to laws dealing with taxation – viz., that they shall not discriminate between States or parts of States.’</w:t>
      </w:r>
      <w:r>
        <w:rPr>
          <w:rStyle w:val="FootnoteReference"/>
        </w:rPr>
        <w:footnoteReference w:id="54"/>
      </w:r>
      <w:r>
        <w:t xml:space="preserve"> </w:t>
      </w:r>
      <w:r w:rsidR="002B36AD">
        <w:t>Accordingly</w:t>
      </w:r>
      <w:r>
        <w:t>, there are no grounds on which to maintain the false dichotomy between the discrimination and preference prohibitions in sections 51(ii) and 99.</w:t>
      </w:r>
    </w:p>
    <w:p w14:paraId="0B89AB73" w14:textId="3692B514" w:rsidR="006460C9" w:rsidRPr="00903AC6" w:rsidRDefault="006460C9" w:rsidP="003F2AA9">
      <w:pPr>
        <w:spacing w:line="480" w:lineRule="auto"/>
      </w:pPr>
      <w:r>
        <w:tab/>
      </w:r>
      <w:r w:rsidR="00DA58AD">
        <w:t xml:space="preserve">As </w:t>
      </w:r>
      <w:r w:rsidR="006D7C8D">
        <w:t>such</w:t>
      </w:r>
      <w:r w:rsidR="00DA58AD">
        <w:t>,</w:t>
      </w:r>
      <w:r>
        <w:t xml:space="preserve"> the explanatory materials regarding section 99 </w:t>
      </w:r>
      <w:r w:rsidR="004B6576">
        <w:t>are</w:t>
      </w:r>
      <w:r w:rsidR="006378E5">
        <w:t xml:space="preserve"> equally</w:t>
      </w:r>
      <w:r>
        <w:t xml:space="preserve"> </w:t>
      </w:r>
      <w:r w:rsidR="006378E5">
        <w:t>relevant</w:t>
      </w:r>
      <w:r w:rsidR="004B6576">
        <w:t xml:space="preserve"> to section </w:t>
      </w:r>
      <w:r>
        <w:t xml:space="preserve">51(ii). While recognising that neither section expressly refers to the </w:t>
      </w:r>
      <w:r w:rsidR="00BA2359">
        <w:t>objectives</w:t>
      </w:r>
      <w:r>
        <w:t xml:space="preserve"> or </w:t>
      </w:r>
      <w:r w:rsidR="00BA2359">
        <w:lastRenderedPageBreak/>
        <w:t>proportionality</w:t>
      </w:r>
      <w:r>
        <w:t xml:space="preserve"> of differential treatment, Quick and Garran conclude that </w:t>
      </w:r>
      <w:r w:rsidR="009862AF">
        <w:t xml:space="preserve">they are inherent </w:t>
      </w:r>
      <w:r w:rsidR="004B6576">
        <w:t>in</w:t>
      </w:r>
      <w:r w:rsidR="009862AF">
        <w:t xml:space="preserve"> the concepts of discrimination and preference</w:t>
      </w:r>
      <w:r>
        <w:t>:</w:t>
      </w:r>
    </w:p>
    <w:p w14:paraId="2E1441CB" w14:textId="5CA11C41" w:rsidR="006460C9" w:rsidRPr="008C130E" w:rsidRDefault="006460C9" w:rsidP="006460C9">
      <w:pPr>
        <w:ind w:left="720"/>
        <w:rPr>
          <w:sz w:val="20"/>
        </w:rPr>
      </w:pPr>
      <w:r w:rsidRPr="008C130E">
        <w:rPr>
          <w:sz w:val="20"/>
        </w:rPr>
        <w:t xml:space="preserve">If a difference of treatment is arbitrary, or if its purpose is to advantage or prejudice a locality, it is undue and unreasonable, and is accordingly a preference. </w:t>
      </w:r>
      <w:r w:rsidRPr="008C130E">
        <w:rPr>
          <w:i/>
          <w:sz w:val="20"/>
        </w:rPr>
        <w:t>If on the other hand the difference of treatment is the reasonable result of the dissimilarity of circumstances – or if it is based on recognized and reasonable principles of administration – it is no preference</w:t>
      </w:r>
      <w:r w:rsidRPr="008C130E">
        <w:rPr>
          <w:sz w:val="20"/>
        </w:rPr>
        <w:t xml:space="preserve">. </w:t>
      </w:r>
      <w:r w:rsidRPr="00BA2359">
        <w:rPr>
          <w:i/>
          <w:sz w:val="20"/>
        </w:rPr>
        <w:t xml:space="preserve">The intention and the effect must both be looked to in order to decide whether a preference </w:t>
      </w:r>
      <w:r w:rsidRPr="003B097C">
        <w:rPr>
          <w:i/>
          <w:sz w:val="20"/>
        </w:rPr>
        <w:t>exists; and in neither inquiry can reasonableness be ignored.</w:t>
      </w:r>
      <w:r>
        <w:rPr>
          <w:rStyle w:val="FootnoteReference"/>
          <w:sz w:val="20"/>
        </w:rPr>
        <w:footnoteReference w:id="55"/>
      </w:r>
    </w:p>
    <w:p w14:paraId="6DF0D7EA" w14:textId="77777777" w:rsidR="003F2AA9" w:rsidRDefault="003F2AA9" w:rsidP="00AE4F32"/>
    <w:p w14:paraId="21CF16C2" w14:textId="268078E7" w:rsidR="005E5AF8" w:rsidRPr="00E553AF" w:rsidRDefault="005E5AF8" w:rsidP="003F2AA9">
      <w:pPr>
        <w:spacing w:line="480" w:lineRule="auto"/>
      </w:pPr>
      <w:r w:rsidRPr="00E553AF">
        <w:t xml:space="preserve">Consequently, the available explanatory materials to the </w:t>
      </w:r>
      <w:r w:rsidRPr="00E553AF">
        <w:rPr>
          <w:i/>
        </w:rPr>
        <w:t xml:space="preserve">Constitution </w:t>
      </w:r>
      <w:r w:rsidRPr="00E553AF">
        <w:t xml:space="preserve">show that the framers intended the section 51(ii) discrimination prohibition to prevent differential treatment of </w:t>
      </w:r>
      <w:r w:rsidR="004B6576">
        <w:t>persons</w:t>
      </w:r>
      <w:r w:rsidRPr="00E553AF">
        <w:t xml:space="preserve"> on the basis of a connection with a state</w:t>
      </w:r>
      <w:r w:rsidR="00C87ABC">
        <w:t>,</w:t>
      </w:r>
      <w:r w:rsidRPr="00E553AF">
        <w:t xml:space="preserve"> </w:t>
      </w:r>
      <w:r w:rsidR="00E553AF" w:rsidRPr="00E553AF">
        <w:t>regardless of any other circumstances</w:t>
      </w:r>
      <w:r w:rsidR="00C87ABC">
        <w:t>,</w:t>
      </w:r>
      <w:r w:rsidR="00E553AF" w:rsidRPr="00E553AF">
        <w:t xml:space="preserve"> if that treatment was not appropriate and adapted to a </w:t>
      </w:r>
      <w:r w:rsidR="00446810">
        <w:t>proper</w:t>
      </w:r>
      <w:r w:rsidR="00E553AF" w:rsidRPr="00E553AF">
        <w:t xml:space="preserve"> objective.</w:t>
      </w:r>
    </w:p>
    <w:p w14:paraId="63E844FD" w14:textId="3D2F3057" w:rsidR="00277D76" w:rsidRPr="00277D76" w:rsidRDefault="00F8695F" w:rsidP="003F2AA9">
      <w:pPr>
        <w:pStyle w:val="Heading1"/>
        <w:spacing w:line="480" w:lineRule="auto"/>
        <w:rPr>
          <w:i/>
        </w:rPr>
      </w:pPr>
      <w:bookmarkStart w:id="18" w:name="_Toc449554422"/>
      <w:r>
        <w:t>IV Jurisprudence on Related Provisions</w:t>
      </w:r>
      <w:bookmarkEnd w:id="18"/>
    </w:p>
    <w:p w14:paraId="5EA90C43" w14:textId="20800E8F" w:rsidR="00EF7CD6" w:rsidRPr="00ED6AB0" w:rsidRDefault="00A26016" w:rsidP="003F2AA9">
      <w:pPr>
        <w:spacing w:line="480" w:lineRule="auto"/>
      </w:pPr>
      <w:r>
        <w:tab/>
      </w:r>
      <w:r w:rsidR="00E801C7">
        <w:t>Reference to the</w:t>
      </w:r>
      <w:r w:rsidR="00810556">
        <w:t xml:space="preserve"> </w:t>
      </w:r>
      <w:r w:rsidR="00E801C7">
        <w:t xml:space="preserve">High Court’s </w:t>
      </w:r>
      <w:r w:rsidR="006378E5">
        <w:t xml:space="preserve">recent </w:t>
      </w:r>
      <w:r w:rsidR="00E801C7">
        <w:t>jurisprudence on</w:t>
      </w:r>
      <w:r w:rsidR="00810556">
        <w:t xml:space="preserve"> the provisions relat</w:t>
      </w:r>
      <w:r w:rsidR="00F87420">
        <w:t>ed to section 51(ii) shows that, i</w:t>
      </w:r>
      <w:r w:rsidR="009F5806">
        <w:t xml:space="preserve">n the last </w:t>
      </w:r>
      <w:r w:rsidR="00EF7CD6">
        <w:t>28 years,</w:t>
      </w:r>
      <w:r w:rsidR="000C245A">
        <w:t xml:space="preserve"> the High Court has confirmed that sections 92, 99 and 117 </w:t>
      </w:r>
      <w:r w:rsidR="009F25ED">
        <w:t xml:space="preserve">of the </w:t>
      </w:r>
      <w:r w:rsidR="009F25ED">
        <w:rPr>
          <w:i/>
        </w:rPr>
        <w:t xml:space="preserve">Constitution </w:t>
      </w:r>
      <w:r w:rsidR="004B6576">
        <w:t xml:space="preserve">all </w:t>
      </w:r>
      <w:r w:rsidR="000C245A">
        <w:t xml:space="preserve">prohibit differential treatment that is not appropriate and adapted to the </w:t>
      </w:r>
      <w:r w:rsidR="00EF7CD6">
        <w:t xml:space="preserve">attainment of a </w:t>
      </w:r>
      <w:r w:rsidR="00446810">
        <w:t>proper</w:t>
      </w:r>
      <w:r w:rsidR="00EF7CD6">
        <w:t xml:space="preserve"> objective, </w:t>
      </w:r>
      <w:r w:rsidR="000C245A">
        <w:t xml:space="preserve">despite each </w:t>
      </w:r>
      <w:r w:rsidR="00EF7CD6">
        <w:t xml:space="preserve">section </w:t>
      </w:r>
      <w:r w:rsidR="000C245A">
        <w:t>being worded differently</w:t>
      </w:r>
      <w:r w:rsidR="00EF7CD6">
        <w:t xml:space="preserve">. </w:t>
      </w:r>
      <w:r w:rsidR="00ED6AB0">
        <w:t xml:space="preserve">Given that </w:t>
      </w:r>
      <w:r w:rsidR="00F53E65">
        <w:t xml:space="preserve">together with section 51(ii) these </w:t>
      </w:r>
      <w:r w:rsidR="000245BA">
        <w:t>sections</w:t>
      </w:r>
      <w:r w:rsidR="00F53E65">
        <w:t xml:space="preserve"> form</w:t>
      </w:r>
      <w:r w:rsidR="00ED6AB0">
        <w:t xml:space="preserve"> part of the network of </w:t>
      </w:r>
      <w:r w:rsidR="000245BA">
        <w:t>provisions</w:t>
      </w:r>
      <w:r w:rsidR="00ED6AB0">
        <w:t xml:space="preserve"> </w:t>
      </w:r>
      <w:r w:rsidR="000245BA">
        <w:t xml:space="preserve">that establish the Australian economic union and </w:t>
      </w:r>
      <w:r w:rsidR="000245BA">
        <w:rPr>
          <w:i/>
        </w:rPr>
        <w:t xml:space="preserve">de minimus </w:t>
      </w:r>
      <w:r w:rsidR="000245BA">
        <w:t>equality guarantees</w:t>
      </w:r>
      <w:r w:rsidR="00ED6AB0">
        <w:t>, the same interpretative approach should be applied to section 51(ii).</w:t>
      </w:r>
    </w:p>
    <w:p w14:paraId="556C1F1C" w14:textId="733AF48A" w:rsidR="00AC1FD3" w:rsidRDefault="004C000C" w:rsidP="003F2AA9">
      <w:pPr>
        <w:spacing w:line="480" w:lineRule="auto"/>
      </w:pPr>
      <w:r>
        <w:tab/>
      </w:r>
      <w:r w:rsidR="004C5ABB">
        <w:t>To begin with, t</w:t>
      </w:r>
      <w:r>
        <w:t xml:space="preserve">he injunction in section 92 that trade, commerce and intercourse among the states must be absolutely free has been interpreted to </w:t>
      </w:r>
      <w:r w:rsidR="00E75583">
        <w:t>prohibit ‘</w:t>
      </w:r>
      <w:r w:rsidR="003A6242">
        <w:t>discriminatory burdens in the protectionist sense</w:t>
      </w:r>
      <w:r w:rsidR="00E75583">
        <w:t>’</w:t>
      </w:r>
      <w:r w:rsidR="003A6242">
        <w:t>.</w:t>
      </w:r>
      <w:r w:rsidR="00E75583">
        <w:rPr>
          <w:rStyle w:val="FootnoteReference"/>
        </w:rPr>
        <w:footnoteReference w:id="56"/>
      </w:r>
      <w:r w:rsidR="00E75583">
        <w:t xml:space="preserve"> Discrimination, in this context, ‘commonly involves the notion of a departure from equality of treatment’ but ‘[i]t does not follow that every departure from equality of treatment … would </w:t>
      </w:r>
      <w:r w:rsidR="00321464">
        <w:t>…</w:t>
      </w:r>
      <w:r w:rsidR="00E75583">
        <w:t xml:space="preserve"> form discriminatory burdens.’</w:t>
      </w:r>
      <w:r w:rsidR="00E75583">
        <w:rPr>
          <w:rStyle w:val="FootnoteReference"/>
        </w:rPr>
        <w:footnoteReference w:id="57"/>
      </w:r>
      <w:r w:rsidR="00767A2B">
        <w:t xml:space="preserve"> </w:t>
      </w:r>
      <w:r w:rsidR="00AC1FD3">
        <w:t>Rather, d</w:t>
      </w:r>
      <w:r w:rsidR="00767A2B">
        <w:t xml:space="preserve">iscrimination requires </w:t>
      </w:r>
      <w:r w:rsidR="008356C4">
        <w:t xml:space="preserve">differential treatment </w:t>
      </w:r>
      <w:r w:rsidR="00AC1FD3">
        <w:t xml:space="preserve">which is </w:t>
      </w:r>
      <w:r w:rsidR="00C7003E">
        <w:t>not</w:t>
      </w:r>
      <w:r w:rsidR="00AC1FD3">
        <w:t xml:space="preserve"> ‘necessary or appropriate and </w:t>
      </w:r>
      <w:r w:rsidR="00AC1FD3">
        <w:lastRenderedPageBreak/>
        <w:t>adapted either to the protection of the community from a real danger or threat to its welfare or to the enhancement of its welfare’</w:t>
      </w:r>
      <w:r w:rsidR="00C7003E">
        <w:t xml:space="preserve"> or some other ‘acceptable explanation or justification.’</w:t>
      </w:r>
      <w:r w:rsidR="00AC1FD3">
        <w:rPr>
          <w:rStyle w:val="FootnoteReference"/>
        </w:rPr>
        <w:footnoteReference w:id="58"/>
      </w:r>
    </w:p>
    <w:p w14:paraId="3F7008C5" w14:textId="3D9EFDD3" w:rsidR="00321464" w:rsidRDefault="00767A2B" w:rsidP="003F2AA9">
      <w:pPr>
        <w:spacing w:line="480" w:lineRule="auto"/>
      </w:pPr>
      <w:r>
        <w:tab/>
      </w:r>
      <w:r w:rsidR="0019448B">
        <w:t>A similar interpretative approach has been adopted</w:t>
      </w:r>
      <w:r>
        <w:t xml:space="preserve"> in relation to </w:t>
      </w:r>
      <w:r w:rsidR="00321464">
        <w:t>section 117, which renders legislation ineffective to the extent that it subjects residents of a particular state</w:t>
      </w:r>
      <w:r w:rsidR="007843A8">
        <w:t xml:space="preserve"> </w:t>
      </w:r>
      <w:r w:rsidR="00321464">
        <w:t xml:space="preserve">to any disability or discrimination. In </w:t>
      </w:r>
      <w:r w:rsidR="00321464">
        <w:rPr>
          <w:i/>
        </w:rPr>
        <w:t>Street v Queensland Bar Association</w:t>
      </w:r>
      <w:r w:rsidR="00321464">
        <w:t xml:space="preserve">, every member of the High Court </w:t>
      </w:r>
      <w:r w:rsidR="002C1375">
        <w:t xml:space="preserve">acknowledged that not all differential treatment on the grounds of state residence </w:t>
      </w:r>
      <w:r w:rsidR="0000231C">
        <w:t xml:space="preserve">would constitute discrimination. Their Honours </w:t>
      </w:r>
      <w:r w:rsidR="00321464">
        <w:t xml:space="preserve">effectively defined discrimination as differential treatment that was not appropriate and adapted to a </w:t>
      </w:r>
      <w:r w:rsidR="00446810">
        <w:t>proper</w:t>
      </w:r>
      <w:r w:rsidR="0020306E">
        <w:t xml:space="preserve"> objective</w:t>
      </w:r>
      <w:r w:rsidR="00321464">
        <w:t>.</w:t>
      </w:r>
      <w:r w:rsidR="00321464">
        <w:rPr>
          <w:rStyle w:val="FootnoteReference"/>
        </w:rPr>
        <w:footnoteReference w:id="59"/>
      </w:r>
      <w:r w:rsidR="00321464">
        <w:t xml:space="preserve"> Each justice defined the limits of </w:t>
      </w:r>
      <w:r w:rsidR="00446810">
        <w:t>proper</w:t>
      </w:r>
      <w:r w:rsidR="009C4252">
        <w:t xml:space="preserve"> objectives</w:t>
      </w:r>
      <w:r w:rsidR="00321464">
        <w:t xml:space="preserve"> in different ways, but the theme common to all of their reasoning was that the </w:t>
      </w:r>
      <w:r w:rsidR="0020306E">
        <w:t>objective</w:t>
      </w:r>
      <w:r w:rsidR="0002757C">
        <w:t>s</w:t>
      </w:r>
      <w:r w:rsidR="0020306E">
        <w:t xml:space="preserve"> and proportionality</w:t>
      </w:r>
      <w:r w:rsidR="00321464">
        <w:t xml:space="preserve"> of differential treatment </w:t>
      </w:r>
      <w:r w:rsidR="0002757C">
        <w:t>are</w:t>
      </w:r>
      <w:r w:rsidR="00321464">
        <w:t xml:space="preserve"> relevant to </w:t>
      </w:r>
      <w:r w:rsidR="002C1375">
        <w:t xml:space="preserve">determining </w:t>
      </w:r>
      <w:r w:rsidR="0000231C">
        <w:t xml:space="preserve">whether </w:t>
      </w:r>
      <w:r w:rsidR="0002757C">
        <w:t>there is</w:t>
      </w:r>
      <w:r w:rsidR="00321464">
        <w:t xml:space="preserve"> discrimination.</w:t>
      </w:r>
    </w:p>
    <w:p w14:paraId="2F48AAB6" w14:textId="57DD9569" w:rsidR="00497827" w:rsidRDefault="00497827" w:rsidP="003F2AA9">
      <w:pPr>
        <w:spacing w:line="480" w:lineRule="auto"/>
        <w:ind w:firstLine="720"/>
      </w:pPr>
      <w:r>
        <w:t xml:space="preserve">Most recently, </w:t>
      </w:r>
      <w:r w:rsidR="00707093">
        <w:t xml:space="preserve">Quick and Garran’s understanding of section 99 preference, detailed in Part III above, was effectively adopted by the High Court in </w:t>
      </w:r>
      <w:r w:rsidR="00707093">
        <w:rPr>
          <w:i/>
        </w:rPr>
        <w:t xml:space="preserve">Permanent Trustee Australia Ltd </w:t>
      </w:r>
      <w:proofErr w:type="gramStart"/>
      <w:r w:rsidR="00707093">
        <w:rPr>
          <w:i/>
        </w:rPr>
        <w:t>v</w:t>
      </w:r>
      <w:proofErr w:type="gramEnd"/>
      <w:r w:rsidR="00707093">
        <w:rPr>
          <w:i/>
        </w:rPr>
        <w:t xml:space="preserve"> Commissioner of State Revenue (Vic)</w:t>
      </w:r>
      <w:r w:rsidR="006378E5">
        <w:t xml:space="preserve">. In that case, the joint majority held that a preference requires ‘differential treatment </w:t>
      </w:r>
      <w:r w:rsidR="00F66F4A">
        <w:t>…</w:t>
      </w:r>
      <w:r w:rsidR="006378E5">
        <w:t xml:space="preserve"> that is [not] the product of distinctions that are appropriate and adapted to a proper objective.’</w:t>
      </w:r>
      <w:r w:rsidR="006378E5">
        <w:rPr>
          <w:rStyle w:val="FootnoteReference"/>
        </w:rPr>
        <w:footnoteReference w:id="60"/>
      </w:r>
    </w:p>
    <w:p w14:paraId="462D045D" w14:textId="12C37B83" w:rsidR="00092F7A" w:rsidRDefault="001E5359" w:rsidP="003F2AA9">
      <w:pPr>
        <w:spacing w:line="480" w:lineRule="auto"/>
        <w:ind w:firstLine="720"/>
      </w:pPr>
      <w:r>
        <w:t xml:space="preserve">If objectives and proportionality are relevant to determining whether sections 92, 99 or 117 have been breached, then they must also be relevant to determining </w:t>
      </w:r>
      <w:r w:rsidR="00F52F0A">
        <w:t>whether section </w:t>
      </w:r>
      <w:r>
        <w:t xml:space="preserve">51(ii) has been </w:t>
      </w:r>
      <w:r w:rsidR="00A60AF9">
        <w:t>breached</w:t>
      </w:r>
      <w:r>
        <w:t xml:space="preserve">. </w:t>
      </w:r>
      <w:r w:rsidR="00092F7A">
        <w:t xml:space="preserve">There is no reason why </w:t>
      </w:r>
      <w:r w:rsidR="0080459B">
        <w:t xml:space="preserve">differential treatment </w:t>
      </w:r>
      <w:r w:rsidR="007825D5">
        <w:t xml:space="preserve">contained in a taxation law </w:t>
      </w:r>
      <w:r w:rsidR="0080459B">
        <w:t xml:space="preserve">that is appropriate and adapted to a </w:t>
      </w:r>
      <w:r w:rsidR="00446810">
        <w:t>proper</w:t>
      </w:r>
      <w:r w:rsidR="0080459B">
        <w:t xml:space="preserve"> objective </w:t>
      </w:r>
      <w:r w:rsidR="00092F7A">
        <w:t>would be more harmful to the Australian economic union and</w:t>
      </w:r>
      <w:r w:rsidR="007825D5">
        <w:t xml:space="preserve"> constitutional</w:t>
      </w:r>
      <w:r w:rsidR="00092F7A">
        <w:t xml:space="preserve"> </w:t>
      </w:r>
      <w:r w:rsidR="00092F7A">
        <w:rPr>
          <w:i/>
        </w:rPr>
        <w:t xml:space="preserve">de minimus </w:t>
      </w:r>
      <w:r w:rsidR="00092F7A">
        <w:t xml:space="preserve">equality guarantees than </w:t>
      </w:r>
      <w:r w:rsidR="00497827">
        <w:t xml:space="preserve">differential treatment in </w:t>
      </w:r>
      <w:r w:rsidR="00092F7A">
        <w:t xml:space="preserve">a law </w:t>
      </w:r>
      <w:r w:rsidR="00497827">
        <w:t>regarding</w:t>
      </w:r>
      <w:r w:rsidR="00092F7A">
        <w:t xml:space="preserve"> inter-state </w:t>
      </w:r>
      <w:r w:rsidR="00497827">
        <w:t>intercourse,</w:t>
      </w:r>
      <w:r w:rsidR="00092F7A">
        <w:t xml:space="preserve"> trade and commerce or the </w:t>
      </w:r>
      <w:r w:rsidR="00092F7A">
        <w:lastRenderedPageBreak/>
        <w:t>rights of residents.</w:t>
      </w:r>
      <w:r w:rsidR="00F17880">
        <w:t xml:space="preserve"> Put simply, doctrinal consistency supports the interpretative approach </w:t>
      </w:r>
      <w:r w:rsidR="004B4581">
        <w:t xml:space="preserve">to section 51(ii) </w:t>
      </w:r>
      <w:r w:rsidR="00F17880">
        <w:t>adopted by French CJ</w:t>
      </w:r>
      <w:r w:rsidR="00E46938">
        <w:t xml:space="preserve"> in </w:t>
      </w:r>
      <w:r w:rsidR="00E46938">
        <w:rPr>
          <w:i/>
        </w:rPr>
        <w:t>Fortescue</w:t>
      </w:r>
      <w:r w:rsidR="00F17880">
        <w:t>.</w:t>
      </w:r>
    </w:p>
    <w:p w14:paraId="5FD2661C" w14:textId="4AACDA00" w:rsidR="00445F2E" w:rsidRDefault="00445F2E" w:rsidP="003F2AA9">
      <w:pPr>
        <w:pStyle w:val="Heading1"/>
        <w:spacing w:line="480" w:lineRule="auto"/>
      </w:pPr>
      <w:bookmarkStart w:id="19" w:name="_Toc449554423"/>
      <w:r>
        <w:t>V Jurisprudence on Section 51(ii)</w:t>
      </w:r>
      <w:bookmarkEnd w:id="19"/>
    </w:p>
    <w:p w14:paraId="72BBD39C" w14:textId="7237F562" w:rsidR="008B70F9" w:rsidRDefault="008B70F9" w:rsidP="003F2AA9">
      <w:pPr>
        <w:pStyle w:val="Heading2"/>
        <w:spacing w:line="480" w:lineRule="auto"/>
      </w:pPr>
      <w:bookmarkStart w:id="20" w:name="_Toc449554424"/>
      <w:proofErr w:type="gramStart"/>
      <w:r>
        <w:rPr>
          <w:i w:val="0"/>
        </w:rPr>
        <w:t>A</w:t>
      </w:r>
      <w:proofErr w:type="gramEnd"/>
      <w:r>
        <w:rPr>
          <w:i w:val="0"/>
        </w:rPr>
        <w:t xml:space="preserve"> </w:t>
      </w:r>
      <w:r>
        <w:t>Introduction</w:t>
      </w:r>
      <w:bookmarkEnd w:id="20"/>
    </w:p>
    <w:p w14:paraId="5915DC4A" w14:textId="4EBB5126" w:rsidR="00ED1D4B" w:rsidRDefault="00AD3348" w:rsidP="003F2AA9">
      <w:pPr>
        <w:spacing w:line="480" w:lineRule="auto"/>
      </w:pPr>
      <w:r>
        <w:tab/>
      </w:r>
      <w:r w:rsidR="004A0E6E">
        <w:t xml:space="preserve">Importantly, </w:t>
      </w:r>
      <w:r w:rsidR="00EE5508">
        <w:t>the</w:t>
      </w:r>
      <w:r w:rsidR="004A0E6E">
        <w:t xml:space="preserve"> High Court and Privy Council jurisprudence on the meaning of the </w:t>
      </w:r>
      <w:r w:rsidR="0009494D">
        <w:t xml:space="preserve">section 51(ii) </w:t>
      </w:r>
      <w:r w:rsidR="004A0E6E">
        <w:t xml:space="preserve">discrimination prohibition </w:t>
      </w:r>
      <w:r w:rsidR="002B6776">
        <w:t>is limited</w:t>
      </w:r>
      <w:r w:rsidR="00F772A2">
        <w:t xml:space="preserve"> </w:t>
      </w:r>
      <w:r w:rsidR="00DD272C">
        <w:t>in number</w:t>
      </w:r>
      <w:r w:rsidR="00ED1D4B">
        <w:t>, mostly aged</w:t>
      </w:r>
      <w:r w:rsidR="00DD272C">
        <w:t xml:space="preserve"> </w:t>
      </w:r>
      <w:r w:rsidR="00F772A2">
        <w:t xml:space="preserve">and </w:t>
      </w:r>
      <w:r w:rsidR="00DD272C">
        <w:t xml:space="preserve">characterised by </w:t>
      </w:r>
      <w:r w:rsidR="00AC48FB">
        <w:t>narrow</w:t>
      </w:r>
      <w:r w:rsidR="00DD272C">
        <w:t xml:space="preserve"> fact patterns and equally narrow reasoning</w:t>
      </w:r>
      <w:r w:rsidR="00A510BE">
        <w:t>.</w:t>
      </w:r>
      <w:r w:rsidR="004A0E6E">
        <w:t xml:space="preserve"> </w:t>
      </w:r>
      <w:r w:rsidR="00EE5508">
        <w:t xml:space="preserve">Writing </w:t>
      </w:r>
      <w:r w:rsidR="00497827">
        <w:t>about</w:t>
      </w:r>
      <w:r w:rsidR="00EE5508">
        <w:t xml:space="preserve"> the jurisprudence immediately prior to </w:t>
      </w:r>
      <w:r w:rsidR="00EE5508" w:rsidRPr="00EE5508">
        <w:rPr>
          <w:i/>
        </w:rPr>
        <w:t>Fortescue</w:t>
      </w:r>
      <w:r w:rsidR="00EE5508">
        <w:t xml:space="preserve">, Simpson </w:t>
      </w:r>
      <w:r w:rsidR="000C2FDF">
        <w:t>argued that</w:t>
      </w:r>
      <w:r w:rsidR="00EE5508">
        <w:t xml:space="preserve"> ‘[t]he d</w:t>
      </w:r>
      <w:r w:rsidR="00E46938">
        <w:t>ecided cases concerning section </w:t>
      </w:r>
      <w:r w:rsidR="00EE5508">
        <w:t>51(ii), none of which are recent, confine the limitation narrowly.’</w:t>
      </w:r>
      <w:bookmarkStart w:id="21" w:name="_Ref449475973"/>
      <w:r w:rsidR="00EE5508" w:rsidRPr="004950AB">
        <w:rPr>
          <w:vertAlign w:val="superscript"/>
          <w:lang w:val="en-AU"/>
        </w:rPr>
        <w:footnoteReference w:id="61"/>
      </w:r>
      <w:bookmarkEnd w:id="21"/>
      <w:r w:rsidR="00E9448B">
        <w:t xml:space="preserve"> </w:t>
      </w:r>
      <w:r w:rsidR="00D10451">
        <w:t xml:space="preserve">Similarly, </w:t>
      </w:r>
      <w:r w:rsidR="00E9448B">
        <w:t xml:space="preserve">Saunders described the </w:t>
      </w:r>
      <w:r w:rsidR="00E9448B" w:rsidRPr="00ED1D4B">
        <w:t>jurisprudence as ‘</w:t>
      </w:r>
      <w:r w:rsidR="00E9448B" w:rsidRPr="00ED1D4B">
        <w:rPr>
          <w:lang w:val="en-AU"/>
        </w:rPr>
        <w:t>a narrow range of somewhat tedious cases.’</w:t>
      </w:r>
      <w:r w:rsidR="00E9448B" w:rsidRPr="00ED1D4B">
        <w:rPr>
          <w:rStyle w:val="FootnoteReference"/>
          <w:lang w:val="en-AU"/>
        </w:rPr>
        <w:footnoteReference w:id="62"/>
      </w:r>
    </w:p>
    <w:p w14:paraId="45ED9E40" w14:textId="6AB9C01F" w:rsidR="00AE1802" w:rsidRPr="00ED1D4B" w:rsidRDefault="007114A4" w:rsidP="003F2AA9">
      <w:pPr>
        <w:spacing w:line="480" w:lineRule="auto"/>
        <w:ind w:firstLine="720"/>
      </w:pPr>
      <w:r>
        <w:t>Castan and Jos</w:t>
      </w:r>
      <w:r w:rsidR="00A510BE">
        <w:t>e</w:t>
      </w:r>
      <w:r>
        <w:t>p</w:t>
      </w:r>
      <w:r w:rsidR="00A510BE">
        <w:t xml:space="preserve">h </w:t>
      </w:r>
      <w:r w:rsidR="00E4722C">
        <w:t>argue</w:t>
      </w:r>
      <w:r w:rsidR="00E9448B">
        <w:t>d</w:t>
      </w:r>
      <w:r w:rsidR="00A510BE">
        <w:t xml:space="preserve"> </w:t>
      </w:r>
      <w:r w:rsidR="00A379D2">
        <w:t xml:space="preserve">that </w:t>
      </w:r>
      <w:r w:rsidR="00A510BE">
        <w:t xml:space="preserve">the narrow interpretation </w:t>
      </w:r>
      <w:r w:rsidR="00E4722C">
        <w:t>is</w:t>
      </w:r>
      <w:r w:rsidR="00A510BE">
        <w:t xml:space="preserve"> causative of ‘[t]he d</w:t>
      </w:r>
      <w:r w:rsidR="00AE1802">
        <w:t>earth of litigation regarding s</w:t>
      </w:r>
      <w:r w:rsidR="004B6576">
        <w:t>s</w:t>
      </w:r>
      <w:r w:rsidR="00AE1802">
        <w:t> </w:t>
      </w:r>
      <w:r w:rsidR="00A510BE">
        <w:t>51(ii) and 99’.</w:t>
      </w:r>
      <w:bookmarkStart w:id="22" w:name="_Ref445843111"/>
      <w:r w:rsidR="00A510BE">
        <w:rPr>
          <w:rStyle w:val="FootnoteReference"/>
        </w:rPr>
        <w:footnoteReference w:id="63"/>
      </w:r>
      <w:bookmarkEnd w:id="22"/>
      <w:r w:rsidR="00A510BE">
        <w:t xml:space="preserve"> </w:t>
      </w:r>
      <w:r w:rsidR="002B6776">
        <w:t xml:space="preserve">In </w:t>
      </w:r>
      <w:r w:rsidR="00A379D2">
        <w:t>turn</w:t>
      </w:r>
      <w:r w:rsidR="002B6776">
        <w:t xml:space="preserve">, Saunders </w:t>
      </w:r>
      <w:r w:rsidR="00ED1D4B">
        <w:t>saw the narrow int</w:t>
      </w:r>
      <w:r w:rsidR="00867843">
        <w:t>erpretation and spa</w:t>
      </w:r>
      <w:r w:rsidR="00ED1D4B">
        <w:t xml:space="preserve">ring application of </w:t>
      </w:r>
      <w:r w:rsidR="0009494D">
        <w:t>those</w:t>
      </w:r>
      <w:r w:rsidR="00ED1D4B">
        <w:t xml:space="preserve"> provision</w:t>
      </w:r>
      <w:r w:rsidR="0009494D">
        <w:t>s</w:t>
      </w:r>
      <w:r w:rsidR="00ED1D4B">
        <w:t xml:space="preserve"> to be at least partly the result of the fact that ‘they presented novel problems of interpretation and threatened results which were considered unwelcome.’</w:t>
      </w:r>
      <w:r w:rsidR="00ED1D4B">
        <w:rPr>
          <w:rStyle w:val="FootnoteReference"/>
        </w:rPr>
        <w:footnoteReference w:id="64"/>
      </w:r>
      <w:r w:rsidR="00ED1D4B">
        <w:t xml:space="preserve"> </w:t>
      </w:r>
      <w:r w:rsidR="00AB4FA8">
        <w:t xml:space="preserve">This </w:t>
      </w:r>
      <w:r w:rsidR="00B46829">
        <w:t>recognises that</w:t>
      </w:r>
      <w:r w:rsidR="00AB4FA8">
        <w:t xml:space="preserve"> </w:t>
      </w:r>
      <w:r w:rsidR="00FB162F">
        <w:t xml:space="preserve">the High Court </w:t>
      </w:r>
      <w:r w:rsidR="00B46829">
        <w:t>engaged in</w:t>
      </w:r>
      <w:r w:rsidR="00AB4FA8">
        <w:t xml:space="preserve"> consequentialist reasoning, which </w:t>
      </w:r>
      <w:r w:rsidR="00B46829">
        <w:t>does not necessarily produce</w:t>
      </w:r>
      <w:r w:rsidR="00AB4FA8">
        <w:t xml:space="preserve"> doctrinal consistency. </w:t>
      </w:r>
      <w:r w:rsidR="000A76A0">
        <w:t xml:space="preserve">To complicate </w:t>
      </w:r>
      <w:r w:rsidR="00E9448B">
        <w:t>the process of distilling general principles from the jurisprudence</w:t>
      </w:r>
      <w:r w:rsidR="00AE1802">
        <w:t xml:space="preserve">, </w:t>
      </w:r>
      <w:r w:rsidR="00AE1802" w:rsidRPr="00A87568">
        <w:rPr>
          <w:rFonts w:cs="Times New Roman"/>
          <w:lang w:val="en-AU"/>
        </w:rPr>
        <w:t xml:space="preserve">Professor Gray </w:t>
      </w:r>
      <w:r w:rsidR="00AE1802">
        <w:rPr>
          <w:rFonts w:cs="Times New Roman"/>
          <w:lang w:val="en-AU"/>
        </w:rPr>
        <w:t>has noted</w:t>
      </w:r>
      <w:r w:rsidR="00AE1802" w:rsidRPr="00A87568">
        <w:rPr>
          <w:rFonts w:cs="Times New Roman"/>
          <w:lang w:val="en-AU"/>
        </w:rPr>
        <w:t xml:space="preserve"> </w:t>
      </w:r>
      <w:r w:rsidR="001210ED">
        <w:rPr>
          <w:rFonts w:cs="Times New Roman"/>
          <w:lang w:val="en-AU"/>
        </w:rPr>
        <w:t>that</w:t>
      </w:r>
      <w:r w:rsidR="00AE1802" w:rsidRPr="00A87568">
        <w:rPr>
          <w:rFonts w:cs="Times New Roman"/>
          <w:lang w:val="en-AU"/>
        </w:rPr>
        <w:t xml:space="preserve"> academic commentary on the discrimination prohibition </w:t>
      </w:r>
      <w:r w:rsidR="00AE1802">
        <w:rPr>
          <w:rFonts w:cs="Times New Roman"/>
          <w:lang w:val="en-AU"/>
        </w:rPr>
        <w:t>is</w:t>
      </w:r>
      <w:r w:rsidR="00AE1802" w:rsidRPr="00A87568">
        <w:rPr>
          <w:rFonts w:cs="Times New Roman"/>
          <w:lang w:val="en-AU"/>
        </w:rPr>
        <w:t xml:space="preserve"> ‘sparse’.</w:t>
      </w:r>
      <w:r w:rsidR="00AE1802" w:rsidRPr="00A87568">
        <w:rPr>
          <w:rFonts w:cs="Times New Roman"/>
          <w:vertAlign w:val="superscript"/>
          <w:lang w:val="en-AU"/>
        </w:rPr>
        <w:footnoteReference w:id="65"/>
      </w:r>
    </w:p>
    <w:p w14:paraId="5B6B2855" w14:textId="2F065A70" w:rsidR="00E42612" w:rsidRPr="00A91115" w:rsidRDefault="002B6776" w:rsidP="003F2AA9">
      <w:pPr>
        <w:spacing w:line="480" w:lineRule="auto"/>
        <w:ind w:firstLine="720"/>
        <w:rPr>
          <w:rFonts w:cs="Times New Roman"/>
          <w:lang w:val="en-AU"/>
        </w:rPr>
      </w:pPr>
      <w:r>
        <w:t>T</w:t>
      </w:r>
      <w:r w:rsidR="00AD3348">
        <w:t xml:space="preserve">he </w:t>
      </w:r>
      <w:r w:rsidR="005570C0">
        <w:t>High Court</w:t>
      </w:r>
      <w:r w:rsidR="00AD3348">
        <w:t xml:space="preserve"> in </w:t>
      </w:r>
      <w:r w:rsidR="00AD3348">
        <w:rPr>
          <w:i/>
        </w:rPr>
        <w:t>Fortescue</w:t>
      </w:r>
      <w:r w:rsidR="003D689F" w:rsidRPr="004950AB">
        <w:rPr>
          <w:lang w:val="en-AU"/>
        </w:rPr>
        <w:t xml:space="preserve"> </w:t>
      </w:r>
      <w:r w:rsidR="004B2E2E">
        <w:rPr>
          <w:lang w:val="en-AU"/>
        </w:rPr>
        <w:t xml:space="preserve">recognised that </w:t>
      </w:r>
      <w:r w:rsidR="003D689F" w:rsidRPr="004950AB">
        <w:rPr>
          <w:lang w:val="en-AU"/>
        </w:rPr>
        <w:t>‘</w:t>
      </w:r>
      <w:r w:rsidR="005570C0">
        <w:rPr>
          <w:lang w:val="en-AU"/>
        </w:rPr>
        <w:t xml:space="preserve">[t]here are </w:t>
      </w:r>
      <w:r w:rsidR="003D689F" w:rsidRPr="004950AB">
        <w:rPr>
          <w:lang w:val="en-AU"/>
        </w:rPr>
        <w:t>relatively few decisions about the meaning and application of</w:t>
      </w:r>
      <w:r w:rsidR="005570C0">
        <w:rPr>
          <w:lang w:val="en-AU"/>
        </w:rPr>
        <w:t xml:space="preserve"> the limiting words of s 51(ii)</w:t>
      </w:r>
      <w:r w:rsidR="003D689F" w:rsidRPr="004950AB">
        <w:rPr>
          <w:lang w:val="en-AU"/>
        </w:rPr>
        <w:t>’</w:t>
      </w:r>
      <w:r w:rsidR="003D689F" w:rsidRPr="004950AB">
        <w:rPr>
          <w:vertAlign w:val="superscript"/>
          <w:lang w:val="en-AU"/>
        </w:rPr>
        <w:footnoteReference w:id="66"/>
      </w:r>
      <w:r w:rsidR="005570C0">
        <w:rPr>
          <w:lang w:val="en-AU"/>
        </w:rPr>
        <w:t xml:space="preserve"> and </w:t>
      </w:r>
      <w:r w:rsidR="00A379D2">
        <w:rPr>
          <w:lang w:val="en-AU"/>
        </w:rPr>
        <w:t xml:space="preserve">that </w:t>
      </w:r>
      <w:r w:rsidR="005570C0">
        <w:rPr>
          <w:lang w:val="en-AU"/>
        </w:rPr>
        <w:t xml:space="preserve">the decisions on </w:t>
      </w:r>
      <w:r w:rsidR="00A92442">
        <w:rPr>
          <w:lang w:val="en-AU"/>
        </w:rPr>
        <w:t xml:space="preserve">the prohibitions in </w:t>
      </w:r>
      <w:r w:rsidR="005570C0">
        <w:rPr>
          <w:lang w:val="en-AU"/>
        </w:rPr>
        <w:t>section</w:t>
      </w:r>
      <w:r w:rsidR="00A92442">
        <w:rPr>
          <w:lang w:val="en-AU"/>
        </w:rPr>
        <w:t>s</w:t>
      </w:r>
      <w:r w:rsidR="005570C0">
        <w:rPr>
          <w:lang w:val="en-AU"/>
        </w:rPr>
        <w:t xml:space="preserve"> 51(ii) and 99 </w:t>
      </w:r>
      <w:r w:rsidR="003D689F" w:rsidRPr="004950AB">
        <w:rPr>
          <w:lang w:val="en-AU"/>
        </w:rPr>
        <w:t xml:space="preserve">‘do not yield single, simply expressed and </w:t>
      </w:r>
      <w:r w:rsidR="003D689F" w:rsidRPr="004950AB">
        <w:rPr>
          <w:lang w:val="en-AU"/>
        </w:rPr>
        <w:lastRenderedPageBreak/>
        <w:t>exhaustive explanations and definitions of the limitation</w:t>
      </w:r>
      <w:r w:rsidR="005570C0">
        <w:rPr>
          <w:lang w:val="en-AU"/>
        </w:rPr>
        <w:t>s on legislative power imposed by those provisions.</w:t>
      </w:r>
      <w:r w:rsidR="003D689F" w:rsidRPr="004950AB">
        <w:rPr>
          <w:lang w:val="en-AU"/>
        </w:rPr>
        <w:t>’</w:t>
      </w:r>
      <w:r w:rsidR="003D689F" w:rsidRPr="004950AB">
        <w:rPr>
          <w:vertAlign w:val="superscript"/>
          <w:lang w:val="en-AU"/>
        </w:rPr>
        <w:footnoteReference w:id="67"/>
      </w:r>
      <w:r w:rsidR="00C80FE0">
        <w:t xml:space="preserve"> </w:t>
      </w:r>
      <w:r w:rsidR="006C3AE3">
        <w:rPr>
          <w:lang w:val="en-AU"/>
        </w:rPr>
        <w:t>Consequently, b</w:t>
      </w:r>
      <w:r w:rsidR="00E42612">
        <w:rPr>
          <w:lang w:val="en-AU"/>
        </w:rPr>
        <w:t xml:space="preserve">efore examining the reasoning of these </w:t>
      </w:r>
      <w:r w:rsidR="006C3AE3">
        <w:rPr>
          <w:lang w:val="en-AU"/>
        </w:rPr>
        <w:t xml:space="preserve">decisions and attempting to distil from them the proper interpretation </w:t>
      </w:r>
      <w:r w:rsidR="00F706D6">
        <w:rPr>
          <w:lang w:val="en-AU"/>
        </w:rPr>
        <w:t>of</w:t>
      </w:r>
      <w:r w:rsidR="006C3AE3">
        <w:rPr>
          <w:lang w:val="en-AU"/>
        </w:rPr>
        <w:t xml:space="preserve"> section 51(ii),</w:t>
      </w:r>
      <w:r w:rsidR="00E42612">
        <w:rPr>
          <w:lang w:val="en-AU"/>
        </w:rPr>
        <w:t xml:space="preserve"> it will be useful to specify </w:t>
      </w:r>
      <w:r w:rsidR="006C3AE3">
        <w:rPr>
          <w:lang w:val="en-AU"/>
        </w:rPr>
        <w:t>the</w:t>
      </w:r>
      <w:r w:rsidR="004B6576">
        <w:rPr>
          <w:lang w:val="en-AU"/>
        </w:rPr>
        <w:t>ir</w:t>
      </w:r>
      <w:r w:rsidR="00E42612">
        <w:rPr>
          <w:lang w:val="en-AU"/>
        </w:rPr>
        <w:t xml:space="preserve"> collective limitations. </w:t>
      </w:r>
    </w:p>
    <w:p w14:paraId="2C565453" w14:textId="36D4E756" w:rsidR="00A34AB1" w:rsidRDefault="00E42612" w:rsidP="003F2AA9">
      <w:pPr>
        <w:spacing w:line="480" w:lineRule="auto"/>
        <w:ind w:firstLine="720"/>
        <w:rPr>
          <w:lang w:val="en-AU"/>
        </w:rPr>
      </w:pPr>
      <w:r>
        <w:rPr>
          <w:lang w:val="en-AU"/>
        </w:rPr>
        <w:t xml:space="preserve">Firstly, </w:t>
      </w:r>
      <w:r w:rsidR="00AB4FA8">
        <w:rPr>
          <w:lang w:val="en-AU"/>
        </w:rPr>
        <w:t xml:space="preserve">apart from </w:t>
      </w:r>
      <w:r w:rsidR="00AB4FA8">
        <w:rPr>
          <w:i/>
          <w:lang w:val="en-AU"/>
        </w:rPr>
        <w:t>Fortescue</w:t>
      </w:r>
      <w:r w:rsidR="00AB4FA8">
        <w:rPr>
          <w:lang w:val="en-AU"/>
        </w:rPr>
        <w:t>, all of the</w:t>
      </w:r>
      <w:r>
        <w:rPr>
          <w:lang w:val="en-AU"/>
        </w:rPr>
        <w:t xml:space="preserve"> </w:t>
      </w:r>
      <w:r w:rsidR="00AB4FA8">
        <w:rPr>
          <w:lang w:val="en-AU"/>
        </w:rPr>
        <w:t>cases</w:t>
      </w:r>
      <w:r>
        <w:rPr>
          <w:lang w:val="en-AU"/>
        </w:rPr>
        <w:t xml:space="preserve"> are old and contain reasoning that would be unlikely to find favour in modern times.</w:t>
      </w:r>
      <w:r w:rsidR="00AB4FA8">
        <w:rPr>
          <w:lang w:val="en-AU"/>
        </w:rPr>
        <w:t xml:space="preserve"> As Simpson </w:t>
      </w:r>
      <w:r w:rsidR="004A6782">
        <w:rPr>
          <w:lang w:val="en-AU"/>
        </w:rPr>
        <w:t>noted</w:t>
      </w:r>
      <w:r w:rsidR="00952382">
        <w:rPr>
          <w:lang w:val="en-AU"/>
        </w:rPr>
        <w:t xml:space="preserve">, the cases prior to </w:t>
      </w:r>
      <w:r w:rsidR="00952382">
        <w:rPr>
          <w:i/>
          <w:lang w:val="en-AU"/>
        </w:rPr>
        <w:t xml:space="preserve">Fortescue </w:t>
      </w:r>
      <w:r w:rsidR="00952382">
        <w:rPr>
          <w:lang w:val="en-AU"/>
        </w:rPr>
        <w:t>‘were decided well before the wider corpus of law began to take substantive discrimination seriously and … this might limit their relevance today.</w:t>
      </w:r>
      <w:r w:rsidR="00952382" w:rsidRPr="00AB4FA8">
        <w:rPr>
          <w:lang w:val="en-AU"/>
        </w:rPr>
        <w:t>’</w:t>
      </w:r>
      <w:r w:rsidR="00952382" w:rsidRPr="00AB4FA8">
        <w:rPr>
          <w:rStyle w:val="FootnoteReference"/>
          <w:lang w:val="en-AU"/>
        </w:rPr>
        <w:footnoteReference w:id="68"/>
      </w:r>
      <w:r w:rsidRPr="00AB4FA8">
        <w:rPr>
          <w:lang w:val="en-AU"/>
        </w:rPr>
        <w:t xml:space="preserve"> Secondly, in no case regarding section 51(ii) </w:t>
      </w:r>
      <w:r w:rsidR="00032A24">
        <w:rPr>
          <w:lang w:val="en-AU"/>
        </w:rPr>
        <w:t>has</w:t>
      </w:r>
      <w:r w:rsidR="0036763D">
        <w:rPr>
          <w:lang w:val="en-AU"/>
        </w:rPr>
        <w:t xml:space="preserve"> </w:t>
      </w:r>
      <w:r w:rsidR="00032A24">
        <w:rPr>
          <w:lang w:val="en-AU"/>
        </w:rPr>
        <w:t>a</w:t>
      </w:r>
      <w:r w:rsidR="0036763D">
        <w:rPr>
          <w:lang w:val="en-AU"/>
        </w:rPr>
        <w:t xml:space="preserve"> </w:t>
      </w:r>
      <w:r w:rsidR="00032A24">
        <w:rPr>
          <w:lang w:val="en-AU"/>
        </w:rPr>
        <w:t>court</w:t>
      </w:r>
      <w:r w:rsidRPr="00AB4FA8">
        <w:rPr>
          <w:lang w:val="en-AU"/>
        </w:rPr>
        <w:t xml:space="preserve"> </w:t>
      </w:r>
      <w:r w:rsidR="00B80E97">
        <w:rPr>
          <w:lang w:val="en-AU"/>
        </w:rPr>
        <w:t xml:space="preserve">been </w:t>
      </w:r>
      <w:r w:rsidRPr="00AB4FA8">
        <w:rPr>
          <w:lang w:val="en-AU"/>
        </w:rPr>
        <w:t xml:space="preserve">required to consider </w:t>
      </w:r>
      <w:r w:rsidR="00AB4FA8" w:rsidRPr="00AB4FA8">
        <w:rPr>
          <w:lang w:val="en-AU"/>
        </w:rPr>
        <w:t>taxation laws that</w:t>
      </w:r>
      <w:r w:rsidR="00AB4FA8">
        <w:rPr>
          <w:lang w:val="en-AU"/>
        </w:rPr>
        <w:t xml:space="preserve"> </w:t>
      </w:r>
      <w:r w:rsidR="00AB4FA8" w:rsidRPr="00B80E97">
        <w:rPr>
          <w:i/>
          <w:lang w:val="en-AU"/>
        </w:rPr>
        <w:t>by their terms</w:t>
      </w:r>
      <w:r w:rsidR="00AB4FA8">
        <w:rPr>
          <w:lang w:val="en-AU"/>
        </w:rPr>
        <w:t xml:space="preserve"> </w:t>
      </w:r>
      <w:r w:rsidR="00055A7A">
        <w:rPr>
          <w:lang w:val="en-AU"/>
        </w:rPr>
        <w:t>differentiate</w:t>
      </w:r>
      <w:r w:rsidR="00AB4FA8">
        <w:rPr>
          <w:lang w:val="en-AU"/>
        </w:rPr>
        <w:t xml:space="preserve"> between parts of states; all of the cases </w:t>
      </w:r>
      <w:r w:rsidR="00B80E97">
        <w:rPr>
          <w:lang w:val="en-AU"/>
        </w:rPr>
        <w:t>involved uniform taxation laws or taxation laws that imposed differential treatment coterminous with state borders.</w:t>
      </w:r>
      <w:r w:rsidR="00292E26">
        <w:rPr>
          <w:lang w:val="en-AU"/>
        </w:rPr>
        <w:t xml:space="preserve"> Thirdly</w:t>
      </w:r>
      <w:r w:rsidR="0036763D">
        <w:rPr>
          <w:lang w:val="en-AU"/>
        </w:rPr>
        <w:t xml:space="preserve">, </w:t>
      </w:r>
      <w:r w:rsidR="006C3AE3">
        <w:rPr>
          <w:lang w:val="en-AU"/>
        </w:rPr>
        <w:t xml:space="preserve">the factual circumstances of the cases before the Court have generally fallen </w:t>
      </w:r>
      <w:r w:rsidR="0036763D">
        <w:rPr>
          <w:lang w:val="en-AU"/>
        </w:rPr>
        <w:t>within</w:t>
      </w:r>
      <w:r w:rsidR="006C3AE3">
        <w:rPr>
          <w:lang w:val="en-AU"/>
        </w:rPr>
        <w:t xml:space="preserve"> two </w:t>
      </w:r>
      <w:r w:rsidR="0036763D">
        <w:rPr>
          <w:lang w:val="en-AU"/>
        </w:rPr>
        <w:t xml:space="preserve">narrow </w:t>
      </w:r>
      <w:r w:rsidR="006C3AE3">
        <w:rPr>
          <w:lang w:val="en-AU"/>
        </w:rPr>
        <w:t>categories: a complete absence of differential treatment or</w:t>
      </w:r>
      <w:r>
        <w:rPr>
          <w:lang w:val="en-AU"/>
        </w:rPr>
        <w:t xml:space="preserve"> </w:t>
      </w:r>
      <w:r w:rsidR="006C3AE3">
        <w:rPr>
          <w:lang w:val="en-AU"/>
        </w:rPr>
        <w:t>clear differential treatment that could never be justified</w:t>
      </w:r>
      <w:r w:rsidR="0036763D">
        <w:rPr>
          <w:lang w:val="en-AU"/>
        </w:rPr>
        <w:t xml:space="preserve"> by </w:t>
      </w:r>
      <w:r w:rsidR="00C77555">
        <w:rPr>
          <w:lang w:val="en-AU"/>
        </w:rPr>
        <w:t>any objective</w:t>
      </w:r>
      <w:r w:rsidR="006C3AE3">
        <w:rPr>
          <w:lang w:val="en-AU"/>
        </w:rPr>
        <w:t xml:space="preserve">. </w:t>
      </w:r>
      <w:r w:rsidR="0097173B">
        <w:rPr>
          <w:lang w:val="en-AU"/>
        </w:rPr>
        <w:t>Accordingly</w:t>
      </w:r>
      <w:r w:rsidR="006C3AE3">
        <w:rPr>
          <w:lang w:val="en-AU"/>
        </w:rPr>
        <w:t xml:space="preserve">, it has </w:t>
      </w:r>
      <w:r w:rsidR="00980B40">
        <w:rPr>
          <w:lang w:val="en-AU"/>
        </w:rPr>
        <w:t xml:space="preserve">generally </w:t>
      </w:r>
      <w:r w:rsidR="006C3AE3">
        <w:rPr>
          <w:lang w:val="en-AU"/>
        </w:rPr>
        <w:t xml:space="preserve">been unnecessary for the Court to even consider whether the </w:t>
      </w:r>
      <w:r w:rsidR="00A34AB1">
        <w:rPr>
          <w:lang w:val="en-AU"/>
        </w:rPr>
        <w:t>objectives</w:t>
      </w:r>
      <w:r w:rsidR="006C3AE3">
        <w:rPr>
          <w:lang w:val="en-AU"/>
        </w:rPr>
        <w:t xml:space="preserve"> of the treatment </w:t>
      </w:r>
      <w:r w:rsidR="00A34AB1">
        <w:rPr>
          <w:lang w:val="en-AU"/>
        </w:rPr>
        <w:t>are</w:t>
      </w:r>
      <w:r w:rsidR="006C3AE3">
        <w:rPr>
          <w:lang w:val="en-AU"/>
        </w:rPr>
        <w:t xml:space="preserve"> relevant to determining whether it is discriminatory.</w:t>
      </w:r>
      <w:r w:rsidR="00F706D6">
        <w:rPr>
          <w:lang w:val="en-AU"/>
        </w:rPr>
        <w:t xml:space="preserve"> </w:t>
      </w:r>
    </w:p>
    <w:p w14:paraId="45BE0C68" w14:textId="14B15B76" w:rsidR="00D926AF" w:rsidRDefault="006C3AE3" w:rsidP="003F2AA9">
      <w:pPr>
        <w:spacing w:line="480" w:lineRule="auto"/>
        <w:ind w:firstLine="720"/>
        <w:rPr>
          <w:lang w:val="en-AU"/>
        </w:rPr>
      </w:pPr>
      <w:r>
        <w:rPr>
          <w:lang w:val="en-AU"/>
        </w:rPr>
        <w:t xml:space="preserve">Bearing these limitations in mind, a critical analysis of the jurisprudence reveals </w:t>
      </w:r>
      <w:r w:rsidR="00A34AB1">
        <w:rPr>
          <w:lang w:val="en-AU"/>
        </w:rPr>
        <w:t xml:space="preserve">two </w:t>
      </w:r>
      <w:r w:rsidR="00BF610F">
        <w:rPr>
          <w:lang w:val="en-AU"/>
        </w:rPr>
        <w:t>fundamental</w:t>
      </w:r>
      <w:r w:rsidR="00A34AB1">
        <w:rPr>
          <w:lang w:val="en-AU"/>
        </w:rPr>
        <w:t xml:space="preserve"> points about the proper interpretation of the section 51(ii)</w:t>
      </w:r>
      <w:r>
        <w:rPr>
          <w:lang w:val="en-AU"/>
        </w:rPr>
        <w:t xml:space="preserve"> </w:t>
      </w:r>
      <w:r w:rsidR="00A34AB1">
        <w:rPr>
          <w:lang w:val="en-AU"/>
        </w:rPr>
        <w:t xml:space="preserve">discrimination prohibition. Firstly, </w:t>
      </w:r>
      <w:r w:rsidR="00E47F8A">
        <w:rPr>
          <w:lang w:val="en-AU"/>
        </w:rPr>
        <w:t xml:space="preserve">to discriminate means to impose differential treatment on the basis of a connection with a state regardless of any other circumstances. </w:t>
      </w:r>
      <w:r w:rsidR="00A34AB1">
        <w:rPr>
          <w:lang w:val="en-AU"/>
        </w:rPr>
        <w:t xml:space="preserve">Secondly, the objectives and proportionality of </w:t>
      </w:r>
      <w:r w:rsidR="00BE45B5">
        <w:rPr>
          <w:lang w:val="en-AU"/>
        </w:rPr>
        <w:t xml:space="preserve">taxation laws are relevant to determining whether they discriminate between states or parts </w:t>
      </w:r>
      <w:r w:rsidR="0040405B">
        <w:rPr>
          <w:lang w:val="en-AU"/>
        </w:rPr>
        <w:t>of states</w:t>
      </w:r>
      <w:r w:rsidR="004B6576">
        <w:rPr>
          <w:lang w:val="en-AU"/>
        </w:rPr>
        <w:t>.</w:t>
      </w:r>
    </w:p>
    <w:p w14:paraId="4519CA1D" w14:textId="761C3491" w:rsidR="00E47F8A" w:rsidRDefault="0028685C" w:rsidP="003F2AA9">
      <w:pPr>
        <w:pStyle w:val="Heading2"/>
        <w:spacing w:line="480" w:lineRule="auto"/>
        <w:rPr>
          <w:lang w:val="en-AU"/>
        </w:rPr>
      </w:pPr>
      <w:bookmarkStart w:id="23" w:name="_Toc449554425"/>
      <w:r>
        <w:rPr>
          <w:i w:val="0"/>
          <w:lang w:val="en-AU"/>
        </w:rPr>
        <w:lastRenderedPageBreak/>
        <w:t xml:space="preserve">B </w:t>
      </w:r>
      <w:r>
        <w:rPr>
          <w:lang w:val="en-AU"/>
        </w:rPr>
        <w:t>Differential Treatment Due to State Connection</w:t>
      </w:r>
      <w:bookmarkEnd w:id="23"/>
    </w:p>
    <w:p w14:paraId="0B770147" w14:textId="14E88A38" w:rsidR="009732D6" w:rsidRPr="009732D6" w:rsidRDefault="00F94613" w:rsidP="003F2AA9">
      <w:pPr>
        <w:keepNext/>
        <w:spacing w:line="480" w:lineRule="auto"/>
        <w:ind w:firstLine="720"/>
        <w:rPr>
          <w:rFonts w:cs="Times New Roman"/>
          <w:lang w:val="en-AU"/>
        </w:rPr>
      </w:pPr>
      <w:r>
        <w:rPr>
          <w:rFonts w:cs="Times New Roman"/>
          <w:lang w:val="en-AU"/>
        </w:rPr>
        <w:t>What constitutes differential treatment for the purposes of section 51(ii) has been the subject of detailed analysis in only two of the</w:t>
      </w:r>
      <w:r w:rsidR="00E46938">
        <w:rPr>
          <w:rFonts w:cs="Times New Roman"/>
          <w:lang w:val="en-AU"/>
        </w:rPr>
        <w:t xml:space="preserve"> High Court’s decisions because</w:t>
      </w:r>
      <w:r>
        <w:rPr>
          <w:rFonts w:cs="Times New Roman"/>
          <w:lang w:val="en-AU"/>
        </w:rPr>
        <w:t xml:space="preserve"> in </w:t>
      </w:r>
      <w:r w:rsidR="00E46938">
        <w:rPr>
          <w:rFonts w:cs="Times New Roman"/>
          <w:lang w:val="en-AU"/>
        </w:rPr>
        <w:t>every</w:t>
      </w:r>
      <w:r w:rsidR="00C30F10">
        <w:rPr>
          <w:rFonts w:cs="Times New Roman"/>
          <w:lang w:val="en-AU"/>
        </w:rPr>
        <w:t xml:space="preserve"> </w:t>
      </w:r>
      <w:r>
        <w:rPr>
          <w:rFonts w:cs="Times New Roman"/>
          <w:lang w:val="en-AU"/>
        </w:rPr>
        <w:t xml:space="preserve">other </w:t>
      </w:r>
      <w:r w:rsidR="00E46938">
        <w:rPr>
          <w:rFonts w:cs="Times New Roman"/>
          <w:lang w:val="en-AU"/>
        </w:rPr>
        <w:t>case</w:t>
      </w:r>
      <w:r w:rsidR="00C30F10">
        <w:rPr>
          <w:rFonts w:cs="Times New Roman"/>
          <w:lang w:val="en-AU"/>
        </w:rPr>
        <w:t xml:space="preserve"> the conclusion was obvious. </w:t>
      </w:r>
      <w:r w:rsidR="00DC07F5">
        <w:rPr>
          <w:rFonts w:cs="Times New Roman"/>
          <w:lang w:val="en-AU"/>
        </w:rPr>
        <w:t xml:space="preserve">The first </w:t>
      </w:r>
      <w:r w:rsidR="0087765F">
        <w:rPr>
          <w:rFonts w:cs="Times New Roman"/>
          <w:lang w:val="en-AU"/>
        </w:rPr>
        <w:t>disputed case of</w:t>
      </w:r>
      <w:r w:rsidR="00DC07F5">
        <w:rPr>
          <w:rFonts w:cs="Times New Roman"/>
          <w:lang w:val="en-AU"/>
        </w:rPr>
        <w:t xml:space="preserve"> differential treatment was </w:t>
      </w:r>
      <w:r w:rsidR="00DC07F5">
        <w:rPr>
          <w:rFonts w:cs="Times New Roman"/>
          <w:i/>
          <w:lang w:val="en-AU"/>
        </w:rPr>
        <w:t>R v Barger</w:t>
      </w:r>
      <w:r w:rsidR="00DC07F5">
        <w:rPr>
          <w:rFonts w:cs="Times New Roman"/>
          <w:lang w:val="en-AU"/>
        </w:rPr>
        <w:t xml:space="preserve">. </w:t>
      </w:r>
      <w:r w:rsidR="009732D6">
        <w:rPr>
          <w:rFonts w:cs="Times New Roman"/>
          <w:lang w:val="en-AU"/>
        </w:rPr>
        <w:t>It</w:t>
      </w:r>
      <w:r w:rsidR="009732D6">
        <w:rPr>
          <w:rFonts w:cs="Times New Roman"/>
          <w:i/>
          <w:lang w:val="en-AU"/>
        </w:rPr>
        <w:t xml:space="preserve"> </w:t>
      </w:r>
      <w:r w:rsidR="009732D6">
        <w:rPr>
          <w:rFonts w:cs="Times New Roman"/>
          <w:lang w:val="en-AU"/>
        </w:rPr>
        <w:t xml:space="preserve">involved a challenge to the validity of the </w:t>
      </w:r>
      <w:r w:rsidR="009732D6">
        <w:rPr>
          <w:rFonts w:cs="Times New Roman"/>
          <w:i/>
          <w:lang w:val="en-AU"/>
        </w:rPr>
        <w:t xml:space="preserve">Excise Tariff 1906 </w:t>
      </w:r>
      <w:r w:rsidR="009732D6">
        <w:rPr>
          <w:rFonts w:cs="Times New Roman"/>
          <w:lang w:val="en-AU"/>
        </w:rPr>
        <w:t xml:space="preserve">(Cth), which imposed </w:t>
      </w:r>
      <w:r w:rsidR="00B73FA9">
        <w:rPr>
          <w:rFonts w:cs="Times New Roman"/>
          <w:lang w:val="en-AU"/>
        </w:rPr>
        <w:t xml:space="preserve">excise duties on various items. The Tariff </w:t>
      </w:r>
      <w:r w:rsidR="009732D6">
        <w:rPr>
          <w:rFonts w:cs="Times New Roman"/>
          <w:lang w:val="en-AU"/>
        </w:rPr>
        <w:t>exempted from duty items manufactured by workers who were remunerated at a fair a</w:t>
      </w:r>
      <w:r w:rsidR="00B73FA9">
        <w:rPr>
          <w:rFonts w:cs="Times New Roman"/>
          <w:lang w:val="en-AU"/>
        </w:rPr>
        <w:t>nd</w:t>
      </w:r>
      <w:r w:rsidR="009732D6">
        <w:rPr>
          <w:rFonts w:cs="Times New Roman"/>
          <w:lang w:val="en-AU"/>
        </w:rPr>
        <w:t xml:space="preserve"> reasonable rate approved by either: </w:t>
      </w:r>
      <w:r w:rsidR="009732D6">
        <w:t xml:space="preserve">resolution of the Commonwealth Parliament; an industrial award </w:t>
      </w:r>
      <w:r w:rsidR="002F64CF">
        <w:t>of</w:t>
      </w:r>
      <w:r w:rsidR="009732D6">
        <w:t xml:space="preserve"> the Commonwealth Court of Conciliation and Arbitration; an industrial agreement between </w:t>
      </w:r>
      <w:r w:rsidR="002F64CF">
        <w:t xml:space="preserve">an </w:t>
      </w:r>
      <w:r w:rsidR="009732D6">
        <w:t xml:space="preserve">employer and </w:t>
      </w:r>
      <w:r w:rsidR="002F64CF">
        <w:t xml:space="preserve">their </w:t>
      </w:r>
      <w:r w:rsidR="009732D6">
        <w:t>employees; or declaration of a Commonwealth judge, state judge or state industrial authority. Such approvals might only apply to particular employers or be limited to particular areas of Australia. Barger argued that this exemption discriminated between states and parts of states.</w:t>
      </w:r>
    </w:p>
    <w:p w14:paraId="070DA759" w14:textId="380B534C" w:rsidR="0087765F" w:rsidRPr="00F52C29" w:rsidRDefault="00E7036D" w:rsidP="003F2AA9">
      <w:pPr>
        <w:spacing w:line="480" w:lineRule="auto"/>
      </w:pPr>
      <w:r>
        <w:rPr>
          <w:rFonts w:cs="Times New Roman"/>
          <w:lang w:val="en-AU"/>
        </w:rPr>
        <w:tab/>
      </w:r>
      <w:r w:rsidR="0087765F">
        <w:t>Adopting a substance over form approach, Griffith CJ, Barton and O’Connor JJ held that the exemption was discriminatory. While noting that the exemption applied generally throughout Australia</w:t>
      </w:r>
      <w:r w:rsidR="00DA3F75">
        <w:t>, they</w:t>
      </w:r>
      <w:r w:rsidR="0087765F">
        <w:t xml:space="preserve"> emphasised that it effectively conferred discretion upon various Commonwealth and state authorities (and, presumably, also employers and employees by way of agreement) to create different conditions for exemption in different localities by approving different rates of fair and reasonable remuneration.</w:t>
      </w:r>
      <w:r w:rsidR="0087765F">
        <w:rPr>
          <w:rStyle w:val="FootnoteReference"/>
        </w:rPr>
        <w:footnoteReference w:id="69"/>
      </w:r>
      <w:r w:rsidR="0087765F">
        <w:t xml:space="preserve"> </w:t>
      </w:r>
      <w:r w:rsidR="004179BB">
        <w:t>Accordingly,</w:t>
      </w:r>
      <w:r w:rsidR="0087765F">
        <w:t xml:space="preserve"> the exemption effectively discriminated between states and parts of states. </w:t>
      </w:r>
      <w:r w:rsidR="00CF2F0C">
        <w:t>This reasoning</w:t>
      </w:r>
      <w:r w:rsidR="0087765F">
        <w:t xml:space="preserve"> focus</w:t>
      </w:r>
      <w:r w:rsidR="00F52C29">
        <w:t>ed</w:t>
      </w:r>
      <w:r w:rsidR="0087765F">
        <w:t xml:space="preserve"> on the treatment of individual taxpayers rather than the states as polities: the same rule applied </w:t>
      </w:r>
      <w:r w:rsidR="00A53662">
        <w:t>across</w:t>
      </w:r>
      <w:r w:rsidR="0087765F">
        <w:t xml:space="preserve"> all states, but it would require individual </w:t>
      </w:r>
      <w:r w:rsidR="00A53662">
        <w:t>manufacturers</w:t>
      </w:r>
      <w:r w:rsidR="0087765F">
        <w:t xml:space="preserve"> to pay different rates of remuneration to secure </w:t>
      </w:r>
      <w:r w:rsidR="001F1596">
        <w:t xml:space="preserve">the </w:t>
      </w:r>
      <w:r w:rsidR="0087765F">
        <w:t>exemption.</w:t>
      </w:r>
      <w:r w:rsidR="004836A4">
        <w:t xml:space="preserve"> As such, the majority’s reasoning supports the view that taxation laws with uniform terms may still </w:t>
      </w:r>
      <w:r w:rsidR="00E46938">
        <w:t xml:space="preserve">indirectly </w:t>
      </w:r>
      <w:r w:rsidR="004836A4">
        <w:t>discriminate in substance.</w:t>
      </w:r>
    </w:p>
    <w:p w14:paraId="2F179A7B" w14:textId="6DD09B58" w:rsidR="000D0A33" w:rsidRDefault="00A53662" w:rsidP="003F2AA9">
      <w:pPr>
        <w:spacing w:line="480" w:lineRule="auto"/>
        <w:rPr>
          <w:rFonts w:cs="Times New Roman"/>
          <w:lang w:val="en-AU"/>
        </w:rPr>
      </w:pPr>
      <w:r>
        <w:rPr>
          <w:rFonts w:cs="Times New Roman"/>
          <w:lang w:val="en-AU"/>
        </w:rPr>
        <w:lastRenderedPageBreak/>
        <w:tab/>
      </w:r>
      <w:r w:rsidR="005B497F">
        <w:rPr>
          <w:rFonts w:cs="Times New Roman"/>
          <w:lang w:val="en-AU"/>
        </w:rPr>
        <w:t>Isaacs and Higgins JJ dissented</w:t>
      </w:r>
      <w:r w:rsidR="00613317">
        <w:rPr>
          <w:rFonts w:cs="Times New Roman"/>
          <w:lang w:val="en-AU"/>
        </w:rPr>
        <w:t xml:space="preserve"> </w:t>
      </w:r>
      <w:r w:rsidR="002D4A82">
        <w:rPr>
          <w:rFonts w:cs="Times New Roman"/>
          <w:lang w:val="en-AU"/>
        </w:rPr>
        <w:t>in separate judgments that</w:t>
      </w:r>
      <w:r w:rsidR="00BC3BC8">
        <w:rPr>
          <w:rFonts w:cs="Times New Roman"/>
          <w:lang w:val="en-AU"/>
        </w:rPr>
        <w:t xml:space="preserve"> </w:t>
      </w:r>
      <w:r w:rsidR="00613317">
        <w:rPr>
          <w:rFonts w:cs="Times New Roman"/>
          <w:lang w:val="en-AU"/>
        </w:rPr>
        <w:t xml:space="preserve">focused on the form of the </w:t>
      </w:r>
      <w:r w:rsidR="00C476E6">
        <w:rPr>
          <w:rFonts w:cs="Times New Roman"/>
          <w:lang w:val="en-AU"/>
        </w:rPr>
        <w:t>exemption</w:t>
      </w:r>
      <w:r w:rsidR="00A316C4">
        <w:rPr>
          <w:rFonts w:cs="Times New Roman"/>
          <w:lang w:val="en-AU"/>
        </w:rPr>
        <w:t>. Isaacs J</w:t>
      </w:r>
      <w:r w:rsidR="00810A6E">
        <w:rPr>
          <w:rFonts w:cs="Times New Roman"/>
          <w:lang w:val="en-AU"/>
        </w:rPr>
        <w:t xml:space="preserve"> presented two reasons </w:t>
      </w:r>
      <w:r w:rsidR="00EC5984">
        <w:rPr>
          <w:rFonts w:cs="Times New Roman"/>
          <w:lang w:val="en-AU"/>
        </w:rPr>
        <w:t xml:space="preserve">why </w:t>
      </w:r>
      <w:r w:rsidR="00810A6E">
        <w:rPr>
          <w:rFonts w:cs="Times New Roman"/>
          <w:lang w:val="en-AU"/>
        </w:rPr>
        <w:t xml:space="preserve">the Tariff </w:t>
      </w:r>
      <w:r w:rsidR="00EC5984">
        <w:rPr>
          <w:rFonts w:cs="Times New Roman"/>
          <w:lang w:val="en-AU"/>
        </w:rPr>
        <w:t>was</w:t>
      </w:r>
      <w:r w:rsidR="00810A6E">
        <w:rPr>
          <w:rFonts w:cs="Times New Roman"/>
          <w:lang w:val="en-AU"/>
        </w:rPr>
        <w:t xml:space="preserve"> non-discriminatory</w:t>
      </w:r>
      <w:r w:rsidR="00A316C4">
        <w:rPr>
          <w:rFonts w:cs="Times New Roman"/>
          <w:lang w:val="en-AU"/>
        </w:rPr>
        <w:t xml:space="preserve">. </w:t>
      </w:r>
      <w:r w:rsidR="00E62611">
        <w:rPr>
          <w:rFonts w:cs="Times New Roman"/>
          <w:lang w:val="en-AU"/>
        </w:rPr>
        <w:t>The</w:t>
      </w:r>
      <w:r w:rsidR="00810A6E">
        <w:rPr>
          <w:rFonts w:cs="Times New Roman"/>
          <w:lang w:val="en-AU"/>
        </w:rPr>
        <w:t xml:space="preserve"> primary reason was that section 51(ii) prevented differentiation between localities ‘because [each] is a particular part of a particular State.’</w:t>
      </w:r>
      <w:r w:rsidR="00810A6E">
        <w:rPr>
          <w:rStyle w:val="FootnoteReference"/>
          <w:rFonts w:cs="Times New Roman"/>
          <w:lang w:val="en-AU"/>
        </w:rPr>
        <w:footnoteReference w:id="70"/>
      </w:r>
      <w:r w:rsidR="00810A6E">
        <w:rPr>
          <w:rFonts w:cs="Times New Roman"/>
          <w:lang w:val="en-AU"/>
        </w:rPr>
        <w:t xml:space="preserve"> </w:t>
      </w:r>
      <w:r w:rsidR="00EC5984">
        <w:rPr>
          <w:rFonts w:cs="Times New Roman"/>
          <w:lang w:val="en-AU"/>
        </w:rPr>
        <w:t>Without further explanation, Isaacs J asserted that ‘no one could possibly suggest’ the Tariff made such differentiation.</w:t>
      </w:r>
      <w:r w:rsidR="00EC5984">
        <w:rPr>
          <w:rStyle w:val="FootnoteReference"/>
          <w:rFonts w:cs="Times New Roman"/>
          <w:lang w:val="en-AU"/>
        </w:rPr>
        <w:footnoteReference w:id="71"/>
      </w:r>
      <w:r w:rsidR="00EC5984">
        <w:rPr>
          <w:rFonts w:cs="Times New Roman"/>
          <w:lang w:val="en-AU"/>
        </w:rPr>
        <w:t xml:space="preserve"> </w:t>
      </w:r>
      <w:r w:rsidR="00E62611">
        <w:rPr>
          <w:rFonts w:cs="Times New Roman"/>
          <w:lang w:val="en-AU"/>
        </w:rPr>
        <w:t xml:space="preserve">The secondary reason </w:t>
      </w:r>
      <w:r w:rsidR="001F1596">
        <w:rPr>
          <w:rFonts w:cs="Times New Roman"/>
          <w:lang w:val="en-AU"/>
        </w:rPr>
        <w:t>was inherent</w:t>
      </w:r>
      <w:r w:rsidR="00E62611">
        <w:rPr>
          <w:rFonts w:cs="Times New Roman"/>
          <w:lang w:val="en-AU"/>
        </w:rPr>
        <w:t xml:space="preserve"> in the meaning of discrimination:</w:t>
      </w:r>
    </w:p>
    <w:p w14:paraId="7D75C3D3" w14:textId="5E2A6B3F" w:rsidR="00E62611" w:rsidRDefault="00E62611" w:rsidP="00E62611">
      <w:pPr>
        <w:ind w:left="720"/>
      </w:pPr>
      <w:r w:rsidRPr="00E11F53">
        <w:rPr>
          <w:sz w:val="20"/>
        </w:rPr>
        <w:t xml:space="preserve">Discrimination between localities in the widest sense means that, because one man [or woman] or his [or her] property is in one locality, then, </w:t>
      </w:r>
      <w:r w:rsidRPr="00E11F53">
        <w:rPr>
          <w:i/>
          <w:sz w:val="20"/>
        </w:rPr>
        <w:t>regardless of any other circumstance</w:t>
      </w:r>
      <w:r w:rsidRPr="00E11F53">
        <w:rPr>
          <w:sz w:val="20"/>
        </w:rPr>
        <w:t xml:space="preserve">, he [or she] or it is to be treated differently from the man [or woman] or </w:t>
      </w:r>
      <w:r w:rsidRPr="00FC1217">
        <w:rPr>
          <w:i/>
          <w:sz w:val="20"/>
        </w:rPr>
        <w:t>similar</w:t>
      </w:r>
      <w:r w:rsidRPr="00E11F53">
        <w:rPr>
          <w:sz w:val="20"/>
        </w:rPr>
        <w:t xml:space="preserve"> property in another locality.</w:t>
      </w:r>
      <w:r>
        <w:rPr>
          <w:rStyle w:val="FootnoteReference"/>
          <w:sz w:val="20"/>
        </w:rPr>
        <w:footnoteReference w:id="72"/>
      </w:r>
    </w:p>
    <w:p w14:paraId="11A91FDA" w14:textId="1C614B85" w:rsidR="00A316C4" w:rsidRDefault="00A316C4" w:rsidP="001648B6">
      <w:pPr>
        <w:rPr>
          <w:rFonts w:cs="Times New Roman"/>
          <w:lang w:val="en-AU"/>
        </w:rPr>
      </w:pPr>
    </w:p>
    <w:p w14:paraId="1EAA54C5" w14:textId="53879F95" w:rsidR="00E62611" w:rsidRDefault="00E62611" w:rsidP="003F2AA9">
      <w:pPr>
        <w:spacing w:line="480" w:lineRule="auto"/>
      </w:pPr>
      <w:r>
        <w:rPr>
          <w:rFonts w:cs="Times New Roman"/>
          <w:lang w:val="en-AU"/>
        </w:rPr>
        <w:t>Applying this definition to the facts, Isaacs J concluded t</w:t>
      </w:r>
      <w:r>
        <w:t>hat manufacturers in different locations were in different circumstances for the purposes of calculating fair and reaso</w:t>
      </w:r>
      <w:r w:rsidR="00EF5A13">
        <w:t xml:space="preserve">nable remuneration. </w:t>
      </w:r>
      <w:r w:rsidR="00E06E72">
        <w:t>Accordingly,</w:t>
      </w:r>
      <w:r w:rsidR="00EF5A13">
        <w:t xml:space="preserve"> a uniform exemption from duty </w:t>
      </w:r>
      <w:r w:rsidR="00E46938">
        <w:t>for</w:t>
      </w:r>
      <w:r w:rsidR="00EF5A13">
        <w:t xml:space="preserve"> goods manufactured by employees paid fair and reasonable remuneration did not discriminate between parts of states </w:t>
      </w:r>
      <w:r w:rsidR="008D7F8D">
        <w:t>simply</w:t>
      </w:r>
      <w:r w:rsidR="00EF5A13">
        <w:t xml:space="preserve"> because </w:t>
      </w:r>
      <w:r>
        <w:t xml:space="preserve">local circumstances </w:t>
      </w:r>
      <w:r w:rsidR="00EF5A13">
        <w:t xml:space="preserve">would be a relevant consideration </w:t>
      </w:r>
      <w:r>
        <w:t>wh</w:t>
      </w:r>
      <w:r w:rsidR="007974D2">
        <w:t>en determining fair and reasonable remuneration</w:t>
      </w:r>
      <w:r>
        <w:t>.</w:t>
      </w:r>
      <w:r w:rsidR="00CD275E">
        <w:t xml:space="preserve"> Higgins J reasoned in a similar manner.</w:t>
      </w:r>
      <w:r w:rsidR="00CD275E">
        <w:rPr>
          <w:rStyle w:val="FootnoteReference"/>
        </w:rPr>
        <w:footnoteReference w:id="73"/>
      </w:r>
    </w:p>
    <w:p w14:paraId="013B1858" w14:textId="0A6B4BBB" w:rsidR="00E62611" w:rsidRPr="00AC0873" w:rsidRDefault="000B2DBC" w:rsidP="003F2AA9">
      <w:pPr>
        <w:spacing w:line="480" w:lineRule="auto"/>
      </w:pPr>
      <w:r>
        <w:tab/>
        <w:t xml:space="preserve">Neither line of reasoning adopted in </w:t>
      </w:r>
      <w:r>
        <w:rPr>
          <w:i/>
        </w:rPr>
        <w:t xml:space="preserve">Barger </w:t>
      </w:r>
      <w:r>
        <w:t xml:space="preserve">is </w:t>
      </w:r>
      <w:r w:rsidR="005E0991">
        <w:t>entirely</w:t>
      </w:r>
      <w:r>
        <w:t xml:space="preserve"> comprehensible or </w:t>
      </w:r>
      <w:r w:rsidR="00BC3FC0">
        <w:t>compelling</w:t>
      </w:r>
      <w:r w:rsidR="0031505E">
        <w:t xml:space="preserve">. The </w:t>
      </w:r>
      <w:r w:rsidR="0098089F">
        <w:t>majority’s reasoning</w:t>
      </w:r>
      <w:r w:rsidR="0031505E">
        <w:t xml:space="preserve"> was technically </w:t>
      </w:r>
      <w:r w:rsidR="0031505E">
        <w:rPr>
          <w:i/>
        </w:rPr>
        <w:t xml:space="preserve">obiter </w:t>
      </w:r>
      <w:r w:rsidR="0031505E">
        <w:t xml:space="preserve">given </w:t>
      </w:r>
      <w:r w:rsidR="00E46938">
        <w:t>their prior conclusion</w:t>
      </w:r>
      <w:r w:rsidR="0031505E">
        <w:t xml:space="preserve"> that the Tariff was </w:t>
      </w:r>
      <w:r w:rsidR="005C4ACC">
        <w:t>not even</w:t>
      </w:r>
      <w:r w:rsidR="004E4DF6">
        <w:t xml:space="preserve"> </w:t>
      </w:r>
      <w:r w:rsidR="0031505E">
        <w:t>a taxation law.</w:t>
      </w:r>
      <w:r w:rsidR="0031505E">
        <w:rPr>
          <w:rStyle w:val="FootnoteReference"/>
        </w:rPr>
        <w:footnoteReference w:id="74"/>
      </w:r>
      <w:r w:rsidR="0031505E">
        <w:t xml:space="preserve"> That conclusion was reached by applying the reserved powers doctrine</w:t>
      </w:r>
      <w:r w:rsidR="00C16E61">
        <w:t>,</w:t>
      </w:r>
      <w:r w:rsidR="0031505E">
        <w:t xml:space="preserve"> under which the Commonwealth’s legislative powers were subject to an implied limitation that prevented direct interference with </w:t>
      </w:r>
      <w:r w:rsidR="005E0991">
        <w:t>state</w:t>
      </w:r>
      <w:r w:rsidR="0031505E">
        <w:t xml:space="preserve"> legislative powers</w:t>
      </w:r>
      <w:r w:rsidR="00D0228F">
        <w:t>. That doctrine</w:t>
      </w:r>
      <w:r w:rsidR="0031505E">
        <w:t xml:space="preserve"> ‘has long since been discredited.’</w:t>
      </w:r>
      <w:r w:rsidR="0031505E">
        <w:rPr>
          <w:rStyle w:val="FootnoteReference"/>
        </w:rPr>
        <w:footnoteReference w:id="75"/>
      </w:r>
      <w:r w:rsidR="00AC0873">
        <w:t xml:space="preserve"> </w:t>
      </w:r>
      <w:r w:rsidR="00F1368A">
        <w:t xml:space="preserve">It is difficult to dispute that the doctrine had at least some influence on </w:t>
      </w:r>
      <w:r w:rsidR="00C21102">
        <w:t>the majority’s discrimination</w:t>
      </w:r>
      <w:r w:rsidR="00F1368A">
        <w:t xml:space="preserve"> reasoning.</w:t>
      </w:r>
      <w:r w:rsidR="00AC0873">
        <w:rPr>
          <w:rStyle w:val="FootnoteReference"/>
        </w:rPr>
        <w:footnoteReference w:id="76"/>
      </w:r>
      <w:r w:rsidR="00F1368A">
        <w:t xml:space="preserve"> </w:t>
      </w:r>
      <w:r w:rsidR="00C16E61">
        <w:t>Their</w:t>
      </w:r>
      <w:r w:rsidR="00F1368A">
        <w:t xml:space="preserve"> objection to the Tariff was that </w:t>
      </w:r>
      <w:r w:rsidR="00F1368A">
        <w:lastRenderedPageBreak/>
        <w:t xml:space="preserve">the Commonwealth Parliament was effectively seeking to regulate intra-state industrial relations (a </w:t>
      </w:r>
      <w:r w:rsidR="008A1F1C">
        <w:t>power</w:t>
      </w:r>
      <w:r w:rsidR="00F1368A">
        <w:t xml:space="preserve"> ‘reserved’ to the states). As the exemption was </w:t>
      </w:r>
      <w:r w:rsidR="006F787E">
        <w:t>fundamental to</w:t>
      </w:r>
      <w:r w:rsidR="00F1368A">
        <w:t xml:space="preserve"> effecting that regulation, it was the combined focus of both the reserved powers doctrine and discrimination reasoning. Moreover, the majority </w:t>
      </w:r>
      <w:r w:rsidR="008A1F1C">
        <w:t>conflated the reserved powers doctrine with discrimination by characterising</w:t>
      </w:r>
      <w:r w:rsidR="00F1368A">
        <w:t xml:space="preserve"> the exemption as a delegation by the Commonwealth Parliament of ‘</w:t>
      </w:r>
      <w:r w:rsidR="00F1368A" w:rsidRPr="00FA6E9C">
        <w:rPr>
          <w:i/>
        </w:rPr>
        <w:t>power</w:t>
      </w:r>
      <w:r w:rsidR="00F1368A">
        <w:t xml:space="preserve"> to make … discrimination’,</w:t>
      </w:r>
      <w:r w:rsidR="00F1368A">
        <w:rPr>
          <w:rStyle w:val="FootnoteReference"/>
        </w:rPr>
        <w:footnoteReference w:id="77"/>
      </w:r>
      <w:r w:rsidR="00F1368A">
        <w:t xml:space="preserve"> which is a power state Parliaments retain.</w:t>
      </w:r>
      <w:r w:rsidR="00F1368A">
        <w:rPr>
          <w:rStyle w:val="FootnoteReference"/>
        </w:rPr>
        <w:footnoteReference w:id="78"/>
      </w:r>
    </w:p>
    <w:p w14:paraId="5C1ABFD9" w14:textId="3AA18E9E" w:rsidR="00F1368A" w:rsidRDefault="00F1368A" w:rsidP="003F2AA9">
      <w:pPr>
        <w:spacing w:line="480" w:lineRule="auto"/>
        <w:ind w:firstLine="720"/>
      </w:pPr>
      <w:r>
        <w:t>Tainting influence of the reserve</w:t>
      </w:r>
      <w:r w:rsidR="004A0E80">
        <w:t>d</w:t>
      </w:r>
      <w:r>
        <w:t xml:space="preserve"> powers doctrine aside, the majority’s discrimination reasoning is also logically flawed. </w:t>
      </w:r>
      <w:r w:rsidR="005E0991">
        <w:t>The</w:t>
      </w:r>
      <w:r>
        <w:t xml:space="preserve"> Tariff was </w:t>
      </w:r>
      <w:r w:rsidR="005E0991">
        <w:t>said to discriminate</w:t>
      </w:r>
      <w:r>
        <w:t xml:space="preserve"> because employers </w:t>
      </w:r>
      <w:r w:rsidR="009E5C9A">
        <w:t xml:space="preserve">in different localities </w:t>
      </w:r>
      <w:r>
        <w:t xml:space="preserve">would have to pay different rates of remuneration to secure the exemption. Effectively, </w:t>
      </w:r>
      <w:r w:rsidR="009E5C9A">
        <w:t>this interpretation requires</w:t>
      </w:r>
      <w:r>
        <w:t xml:space="preserve"> taxation laws to operate </w:t>
      </w:r>
      <w:r w:rsidR="009E5C9A">
        <w:t xml:space="preserve">with uniform </w:t>
      </w:r>
      <w:r w:rsidR="009E5C9A" w:rsidRPr="00D36D51">
        <w:rPr>
          <w:i/>
        </w:rPr>
        <w:t>effect</w:t>
      </w:r>
      <w:r>
        <w:t xml:space="preserve"> across Australia. Taken to its logical extension, </w:t>
      </w:r>
      <w:r w:rsidR="001F5A28">
        <w:t>it</w:t>
      </w:r>
      <w:r>
        <w:t xml:space="preserve"> </w:t>
      </w:r>
      <w:r w:rsidR="00A722CD">
        <w:t>requires</w:t>
      </w:r>
      <w:r>
        <w:t xml:space="preserve"> that any tax concession (exemption, offset or deduction) be available to all taxpayers for the same </w:t>
      </w:r>
      <w:r w:rsidR="00D36D51">
        <w:t>cost.</w:t>
      </w:r>
      <w:r w:rsidR="00AC0873">
        <w:t xml:space="preserve"> That</w:t>
      </w:r>
      <w:r>
        <w:t xml:space="preserve"> is so fundamentally contrary to </w:t>
      </w:r>
      <w:r w:rsidR="00AC0873">
        <w:t>the drafting history of section </w:t>
      </w:r>
      <w:r>
        <w:t xml:space="preserve">51(ii), the </w:t>
      </w:r>
      <w:r w:rsidR="00D36D51">
        <w:t xml:space="preserve">subsequent </w:t>
      </w:r>
      <w:r>
        <w:t xml:space="preserve">jurisprudence of the High Court and the long history of taxation laws in Australia that it </w:t>
      </w:r>
      <w:r w:rsidR="00A722CD">
        <w:t>must be incorrect</w:t>
      </w:r>
      <w:r>
        <w:t xml:space="preserve">. As Professor Sawer concluded without elaboration: ‘the majority decision on this point in </w:t>
      </w:r>
      <w:r>
        <w:rPr>
          <w:i/>
        </w:rPr>
        <w:t xml:space="preserve">Barger </w:t>
      </w:r>
      <w:r>
        <w:t>was almost certainly wrong.’</w:t>
      </w:r>
      <w:r>
        <w:rPr>
          <w:rStyle w:val="FootnoteReference"/>
        </w:rPr>
        <w:footnoteReference w:id="79"/>
      </w:r>
      <w:r>
        <w:t xml:space="preserve"> This was reinforced in </w:t>
      </w:r>
      <w:r>
        <w:rPr>
          <w:i/>
        </w:rPr>
        <w:t>Fortescue</w:t>
      </w:r>
      <w:r>
        <w:t xml:space="preserve"> where the plurality declined to support the </w:t>
      </w:r>
      <w:r>
        <w:rPr>
          <w:i/>
        </w:rPr>
        <w:t xml:space="preserve">Barger </w:t>
      </w:r>
      <w:r>
        <w:t xml:space="preserve">majority’s conclusion and Kiefel J held that ‘[t]here may be something to be said for the view that the approach of Isaacs J in </w:t>
      </w:r>
      <w:r>
        <w:rPr>
          <w:i/>
        </w:rPr>
        <w:t xml:space="preserve">Barger </w:t>
      </w:r>
      <w:r>
        <w:t xml:space="preserve">is more consonant with the decisions in </w:t>
      </w:r>
      <w:r>
        <w:rPr>
          <w:i/>
        </w:rPr>
        <w:t xml:space="preserve">Cameron </w:t>
      </w:r>
      <w:r>
        <w:t xml:space="preserve">and </w:t>
      </w:r>
      <w:r>
        <w:rPr>
          <w:i/>
        </w:rPr>
        <w:t>Irving</w:t>
      </w:r>
      <w:r>
        <w:t>.’</w:t>
      </w:r>
      <w:r>
        <w:rPr>
          <w:rStyle w:val="FootnoteReference"/>
        </w:rPr>
        <w:footnoteReference w:id="80"/>
      </w:r>
    </w:p>
    <w:p w14:paraId="05CD7A7A" w14:textId="19A65992" w:rsidR="009D66F5" w:rsidRDefault="009D66F5" w:rsidP="003F2AA9">
      <w:pPr>
        <w:spacing w:line="480" w:lineRule="auto"/>
        <w:ind w:firstLine="720"/>
      </w:pPr>
      <w:r>
        <w:t xml:space="preserve">Nor is the reasoning of Isaacs J immune from criticism. Isaacs J proffered no guidance on </w:t>
      </w:r>
      <w:r w:rsidR="006332C5">
        <w:t>how to</w:t>
      </w:r>
      <w:r w:rsidR="00FC393F">
        <w:t xml:space="preserve"> determine whether localities have been</w:t>
      </w:r>
      <w:r>
        <w:t xml:space="preserve"> selected </w:t>
      </w:r>
      <w:r>
        <w:rPr>
          <w:i/>
        </w:rPr>
        <w:t>because they are states or parts of states</w:t>
      </w:r>
      <w:r>
        <w:t xml:space="preserve">. As a result, Isaacs J’s primary reasoning has </w:t>
      </w:r>
      <w:r w:rsidR="00202A4B">
        <w:t xml:space="preserve">been criticised for creating a </w:t>
      </w:r>
      <w:r w:rsidR="00202A4B">
        <w:lastRenderedPageBreak/>
        <w:t>‘</w:t>
      </w:r>
      <w:r>
        <w:t>special criterion of “Stateishness”’</w:t>
      </w:r>
      <w:r>
        <w:rPr>
          <w:rStyle w:val="FootnoteReference"/>
        </w:rPr>
        <w:footnoteReference w:id="81"/>
      </w:r>
      <w:r>
        <w:t xml:space="preserve"> that is ‘difficult – perhaps impossible – to grasp’</w:t>
      </w:r>
      <w:r w:rsidR="00B2410C">
        <w:t>.</w:t>
      </w:r>
      <w:r>
        <w:rPr>
          <w:rStyle w:val="FootnoteReference"/>
        </w:rPr>
        <w:footnoteReference w:id="82"/>
      </w:r>
      <w:r w:rsidR="003007C6">
        <w:t xml:space="preserve"> Indeed, it was ‘trenchantly criticized’ in </w:t>
      </w:r>
      <w:r w:rsidR="003007C6">
        <w:rPr>
          <w:i/>
        </w:rPr>
        <w:t xml:space="preserve">Clyne </w:t>
      </w:r>
      <w:r w:rsidR="003007C6">
        <w:t>by Dixon CJ,</w:t>
      </w:r>
      <w:bookmarkStart w:id="24" w:name="_Ref446070973"/>
      <w:r w:rsidR="003007C6">
        <w:rPr>
          <w:rStyle w:val="FootnoteReference"/>
        </w:rPr>
        <w:footnoteReference w:id="83"/>
      </w:r>
      <w:bookmarkEnd w:id="24"/>
      <w:r w:rsidR="003007C6">
        <w:t xml:space="preserve"> who stated he was ‘unable to appreciate the distinction’</w:t>
      </w:r>
      <w:r w:rsidR="00B2410C">
        <w:t>.</w:t>
      </w:r>
      <w:r w:rsidR="00B2410C">
        <w:rPr>
          <w:rStyle w:val="FootnoteReference"/>
        </w:rPr>
        <w:footnoteReference w:id="84"/>
      </w:r>
      <w:r w:rsidR="004A0E80">
        <w:t xml:space="preserve"> Moreover, the reasoning ‘frustrate[s] the original intention of the prohibitions of s. 51(ii) and s. 99’</w:t>
      </w:r>
      <w:r w:rsidR="004A0E80">
        <w:rPr>
          <w:rStyle w:val="FootnoteReference"/>
        </w:rPr>
        <w:footnoteReference w:id="85"/>
      </w:r>
      <w:r w:rsidR="004A0E80">
        <w:t xml:space="preserve"> because the Commonwealth </w:t>
      </w:r>
      <w:r w:rsidR="005E0991">
        <w:t>can circumvent their effect</w:t>
      </w:r>
      <w:r w:rsidR="0066270F">
        <w:t xml:space="preserve"> by</w:t>
      </w:r>
      <w:r w:rsidR="004A0E80">
        <w:t xml:space="preserve"> identif</w:t>
      </w:r>
      <w:r w:rsidR="0066270F">
        <w:t>ying</w:t>
      </w:r>
      <w:r w:rsidR="004A0E80">
        <w:t xml:space="preserve"> areas by characteristics other than state status.</w:t>
      </w:r>
      <w:r w:rsidR="004A0E80">
        <w:rPr>
          <w:rStyle w:val="FootnoteReference"/>
        </w:rPr>
        <w:footnoteReference w:id="86"/>
      </w:r>
      <w:r w:rsidR="00CE0E34">
        <w:t xml:space="preserve"> Finally, it seems unlikely </w:t>
      </w:r>
      <w:r w:rsidR="002060C4">
        <w:t>that such</w:t>
      </w:r>
      <w:r w:rsidR="00CE0E34">
        <w:t xml:space="preserve"> formalistic reasoning would be </w:t>
      </w:r>
      <w:r w:rsidR="00D23A29">
        <w:t>applied</w:t>
      </w:r>
      <w:r w:rsidR="00CE0E34">
        <w:t xml:space="preserve"> by a modern court. The majority in </w:t>
      </w:r>
      <w:r w:rsidR="00CE0E34">
        <w:rPr>
          <w:i/>
        </w:rPr>
        <w:t xml:space="preserve">Permanent Trustee </w:t>
      </w:r>
      <w:r w:rsidR="00CE0E34">
        <w:t>did not even mention the Stateishness criterion, despite it being a</w:t>
      </w:r>
      <w:r w:rsidR="005E0991">
        <w:t>n</w:t>
      </w:r>
      <w:r w:rsidR="00CE0E34">
        <w:t xml:space="preserve"> </w:t>
      </w:r>
      <w:r w:rsidR="005E0991">
        <w:t>additional</w:t>
      </w:r>
      <w:r w:rsidR="00CE0E34">
        <w:t xml:space="preserve"> </w:t>
      </w:r>
      <w:r w:rsidR="00DE2FF4">
        <w:t>justification for</w:t>
      </w:r>
      <w:r w:rsidR="00CE0E34">
        <w:t xml:space="preserve"> their conclusion.</w:t>
      </w:r>
    </w:p>
    <w:p w14:paraId="0E57901A" w14:textId="3A4DF123" w:rsidR="007E2D98" w:rsidRDefault="009A1597" w:rsidP="003F2AA9">
      <w:pPr>
        <w:spacing w:line="480" w:lineRule="auto"/>
        <w:ind w:firstLine="720"/>
      </w:pPr>
      <w:r>
        <w:t>Once the</w:t>
      </w:r>
      <w:r w:rsidR="00FA5A0C">
        <w:t>se</w:t>
      </w:r>
      <w:r>
        <w:t xml:space="preserve"> </w:t>
      </w:r>
      <w:r w:rsidR="00AD5B76">
        <w:t xml:space="preserve">unconvincing aspects of </w:t>
      </w:r>
      <w:r w:rsidR="00AD5B76" w:rsidRPr="00AD5B76">
        <w:rPr>
          <w:i/>
        </w:rPr>
        <w:t>Barger</w:t>
      </w:r>
      <w:r w:rsidR="00FA5A0C">
        <w:t xml:space="preserve"> </w:t>
      </w:r>
      <w:r>
        <w:t xml:space="preserve">are rejected, all that remains </w:t>
      </w:r>
      <w:r w:rsidR="00AD5B76">
        <w:t>to provide guidance on the proper interpretation of section 51(ii) is</w:t>
      </w:r>
      <w:r>
        <w:t xml:space="preserve"> Isaacs J’s definition of discrimination in th</w:t>
      </w:r>
      <w:r w:rsidR="00FA5A0C">
        <w:t>e widest sense:</w:t>
      </w:r>
      <w:r>
        <w:t xml:space="preserve"> differential treatment of people in different locations regardless </w:t>
      </w:r>
      <w:r w:rsidR="00FA5A0C">
        <w:t>of any other circumstances</w:t>
      </w:r>
      <w:r>
        <w:t xml:space="preserve">. </w:t>
      </w:r>
      <w:r w:rsidR="007E2D98">
        <w:t xml:space="preserve">Indeed, that definition was applied either expressly or </w:t>
      </w:r>
      <w:r w:rsidR="006F787E">
        <w:t>impliedly</w:t>
      </w:r>
      <w:r w:rsidR="007E2D98">
        <w:t xml:space="preserve"> by every member of the Court in </w:t>
      </w:r>
      <w:r w:rsidR="007E2D98">
        <w:rPr>
          <w:i/>
        </w:rPr>
        <w:t>Cameron v Deputy Federal Commissioner of Taxation (Tas)</w:t>
      </w:r>
      <w:r w:rsidR="00831CE3">
        <w:t xml:space="preserve">, </w:t>
      </w:r>
      <w:r w:rsidR="006F787E">
        <w:t>which concerned</w:t>
      </w:r>
      <w:r w:rsidR="00831CE3">
        <w:t xml:space="preserve"> a regulation that prescribed different deduction values for livestock located in different states </w:t>
      </w:r>
      <w:r w:rsidR="00090C7E">
        <w:t xml:space="preserve">(purportedly based on </w:t>
      </w:r>
      <w:r w:rsidR="00552E7F">
        <w:t xml:space="preserve">state-wide </w:t>
      </w:r>
      <w:r w:rsidR="00090C7E">
        <w:t>average values)</w:t>
      </w:r>
      <w:r w:rsidR="00831CE3">
        <w:t>.</w:t>
      </w:r>
      <w:r w:rsidR="00831CE3">
        <w:rPr>
          <w:rStyle w:val="FootnoteReference"/>
        </w:rPr>
        <w:footnoteReference w:id="87"/>
      </w:r>
      <w:r w:rsidR="00552E7F">
        <w:t xml:space="preserve"> In these circumstances, the differential treatment was obvious and the Court found the regulation discriminated between states.</w:t>
      </w:r>
    </w:p>
    <w:p w14:paraId="1C67AA4F" w14:textId="3EE8C6D7" w:rsidR="007E02F5" w:rsidRDefault="009A1597" w:rsidP="003F2AA9">
      <w:pPr>
        <w:spacing w:line="480" w:lineRule="auto"/>
        <w:ind w:firstLine="720"/>
      </w:pPr>
      <w:r>
        <w:t xml:space="preserve">In determining whether </w:t>
      </w:r>
      <w:r w:rsidR="007E2D98">
        <w:t>differential</w:t>
      </w:r>
      <w:r>
        <w:t xml:space="preserve"> treatment exists, the reasoning of the majority and dissentients </w:t>
      </w:r>
      <w:r w:rsidR="002939AF">
        <w:t xml:space="preserve">in </w:t>
      </w:r>
      <w:r w:rsidR="002939AF">
        <w:rPr>
          <w:i/>
        </w:rPr>
        <w:t xml:space="preserve">Barger </w:t>
      </w:r>
      <w:r>
        <w:t>sup</w:t>
      </w:r>
      <w:r w:rsidR="00386A6C">
        <w:t>port</w:t>
      </w:r>
      <w:r w:rsidR="009958B1">
        <w:t>s</w:t>
      </w:r>
      <w:r w:rsidR="00386A6C">
        <w:t xml:space="preserve"> the inference that section </w:t>
      </w:r>
      <w:r>
        <w:t xml:space="preserve">51(ii) is primarily concerned with the treatment of </w:t>
      </w:r>
      <w:r w:rsidR="003041C6">
        <w:t>persons</w:t>
      </w:r>
      <w:r>
        <w:t xml:space="preserve"> rather than the states as polities. </w:t>
      </w:r>
      <w:r w:rsidR="003041C6">
        <w:t>Furthermore</w:t>
      </w:r>
      <w:r w:rsidR="00CE50A6">
        <w:t xml:space="preserve">, the majority’s </w:t>
      </w:r>
      <w:r w:rsidR="00CE50A6">
        <w:lastRenderedPageBreak/>
        <w:t>subs</w:t>
      </w:r>
      <w:r w:rsidR="000A1988">
        <w:t>tance over form approach and conclusion that an Act with uniform terms may still discriminate appear</w:t>
      </w:r>
      <w:r w:rsidR="00CE50A6">
        <w:t xml:space="preserve"> sufficiently </w:t>
      </w:r>
      <w:r w:rsidR="004E6549">
        <w:t xml:space="preserve">general and </w:t>
      </w:r>
      <w:r w:rsidR="00CE50A6">
        <w:t>untainted by the reserve</w:t>
      </w:r>
      <w:r w:rsidR="004E6549">
        <w:t>d</w:t>
      </w:r>
      <w:r w:rsidR="00CE50A6">
        <w:t xml:space="preserve"> powers doctrine to remain </w:t>
      </w:r>
      <w:r w:rsidR="004E6549">
        <w:t>valid</w:t>
      </w:r>
      <w:r w:rsidR="000B5FA0">
        <w:t>. As Simpson notes</w:t>
      </w:r>
      <w:r w:rsidR="00CE50A6">
        <w:t>, ‘the emergence of a preference for attention to substance over form in discrimination analysis and its having been picked up in constitutional contexts is, I think, an entirely acceptable and desirable development.’</w:t>
      </w:r>
      <w:bookmarkStart w:id="25" w:name="_Ref449350353"/>
      <w:r w:rsidR="00CE50A6">
        <w:rPr>
          <w:rStyle w:val="FootnoteReference"/>
        </w:rPr>
        <w:footnoteReference w:id="88"/>
      </w:r>
      <w:bookmarkEnd w:id="25"/>
      <w:r w:rsidR="00CE50A6">
        <w:t xml:space="preserve"> </w:t>
      </w:r>
      <w:r w:rsidR="006F787E">
        <w:t>Accordingly,</w:t>
      </w:r>
      <w:r w:rsidR="004D1065">
        <w:t xml:space="preserve"> section 51(ii) prohibits both direct and indirect discrimination.</w:t>
      </w:r>
    </w:p>
    <w:p w14:paraId="1F9084A2" w14:textId="03EB2A35" w:rsidR="009D66F5" w:rsidRPr="005A1732" w:rsidRDefault="00CE50A6" w:rsidP="003F2AA9">
      <w:pPr>
        <w:spacing w:line="480" w:lineRule="auto"/>
        <w:ind w:firstLine="720"/>
      </w:pPr>
      <w:r>
        <w:t xml:space="preserve">All of these conclusions are confirmed by the reasoning in </w:t>
      </w:r>
      <w:r w:rsidR="005A1732">
        <w:rPr>
          <w:i/>
        </w:rPr>
        <w:t>Conroy v Carter</w:t>
      </w:r>
      <w:r w:rsidR="003041C6">
        <w:t xml:space="preserve">, which also dealt with differential treatment. That case </w:t>
      </w:r>
      <w:r w:rsidR="005A1732">
        <w:t xml:space="preserve">concerned the administrative arrangements for collection of a Commonwealth levy imposed on owners of commercial hens. </w:t>
      </w:r>
      <w:r w:rsidR="00EC03BF">
        <w:t xml:space="preserve">The relevant Act empowered </w:t>
      </w:r>
      <w:r w:rsidR="00547EBF">
        <w:t>the</w:t>
      </w:r>
      <w:r w:rsidR="00EC03BF">
        <w:t xml:space="preserve"> Commonwealth to enter into arrangements with each state for its egg board to collect the levy. While such an arrangement subsisted, taxpayers in that state were required to pay </w:t>
      </w:r>
      <w:r w:rsidR="003041C6">
        <w:t>levies</w:t>
      </w:r>
      <w:r w:rsidR="00EC03BF">
        <w:t xml:space="preserve"> to the state egg board and the bo</w:t>
      </w:r>
      <w:r w:rsidR="00C572A4">
        <w:t>ard could retain from any money</w:t>
      </w:r>
      <w:r w:rsidR="00EC03BF">
        <w:t xml:space="preserve"> it owed to a taxpayer the amount of any Commonwealth levy for which they were liable. Carter claimed these provisions discriminated between states. By statutory majority, the High Court agreed.</w:t>
      </w:r>
      <w:r w:rsidR="00EC03BF">
        <w:rPr>
          <w:rStyle w:val="FootnoteReference"/>
        </w:rPr>
        <w:footnoteReference w:id="89"/>
      </w:r>
    </w:p>
    <w:p w14:paraId="12C5980A" w14:textId="7708F978" w:rsidR="00EC03BF" w:rsidRDefault="00ED3323" w:rsidP="003F2AA9">
      <w:pPr>
        <w:spacing w:line="480" w:lineRule="auto"/>
        <w:ind w:firstLine="720"/>
      </w:pPr>
      <w:r>
        <w:t>Delivering the leading judgment, Menzies J</w:t>
      </w:r>
      <w:r w:rsidR="00EC03BF">
        <w:t xml:space="preserve"> held that the section 51(ii) prohibition did not require tax laws to operate uniformly throughout the Commonwealth; rather, it forbade taxation laws ‘which would </w:t>
      </w:r>
      <w:r w:rsidR="00EC03BF" w:rsidRPr="0066270F">
        <w:rPr>
          <w:i/>
        </w:rPr>
        <w:t>impose a taxation burden upon a person because of some connexion with a State or a part of a State</w:t>
      </w:r>
      <w:r w:rsidR="00EC03BF">
        <w:t>, which would not fall upon other persons not having that connexion.’</w:t>
      </w:r>
      <w:r w:rsidR="00EC03BF">
        <w:rPr>
          <w:rStyle w:val="FootnoteReference"/>
        </w:rPr>
        <w:footnoteReference w:id="90"/>
      </w:r>
      <w:r w:rsidR="00EC03BF">
        <w:t xml:space="preserve"> </w:t>
      </w:r>
      <w:r w:rsidR="00123C8C">
        <w:t>Effectively, this is an application of Isaacs J’s definition of discrimination</w:t>
      </w:r>
      <w:r w:rsidR="00437FC3">
        <w:t xml:space="preserve"> in </w:t>
      </w:r>
      <w:r w:rsidR="00437FC3">
        <w:rPr>
          <w:i/>
        </w:rPr>
        <w:t>Barger</w:t>
      </w:r>
      <w:r w:rsidR="00123C8C">
        <w:t xml:space="preserve">. </w:t>
      </w:r>
      <w:r w:rsidR="00EC03BF">
        <w:t xml:space="preserve">While Menzies J only referred to burdens, logic requires that </w:t>
      </w:r>
      <w:r>
        <w:t>his</w:t>
      </w:r>
      <w:r w:rsidR="00EC03BF">
        <w:t xml:space="preserve"> reasoning also </w:t>
      </w:r>
      <w:r>
        <w:t>extend</w:t>
      </w:r>
      <w:r w:rsidR="003041C6">
        <w:t>s</w:t>
      </w:r>
      <w:r>
        <w:t xml:space="preserve"> to </w:t>
      </w:r>
      <w:r w:rsidR="00EC03BF">
        <w:t>benefits. In economic substance, benefit</w:t>
      </w:r>
      <w:r w:rsidR="003041C6">
        <w:t>s</w:t>
      </w:r>
      <w:r w:rsidR="00EC03BF">
        <w:t xml:space="preserve"> to one person or class </w:t>
      </w:r>
      <w:r w:rsidR="003041C6">
        <w:t>are</w:t>
      </w:r>
      <w:r w:rsidR="00EC03BF">
        <w:t xml:space="preserve"> the same as burden</w:t>
      </w:r>
      <w:r w:rsidR="003041C6">
        <w:t>s</w:t>
      </w:r>
      <w:r w:rsidR="00EC03BF">
        <w:t xml:space="preserve"> imposed on everyone else. </w:t>
      </w:r>
      <w:r w:rsidR="003041C6">
        <w:t>T</w:t>
      </w:r>
      <w:r w:rsidR="00EC03BF">
        <w:t xml:space="preserve">his logic </w:t>
      </w:r>
      <w:r w:rsidR="003041C6">
        <w:t>may have been</w:t>
      </w:r>
      <w:r w:rsidR="00EC03BF">
        <w:t xml:space="preserve"> behind Kiefel J</w:t>
      </w:r>
      <w:r w:rsidR="003041C6">
        <w:t xml:space="preserve">’s </w:t>
      </w:r>
      <w:r w:rsidR="003041C6">
        <w:lastRenderedPageBreak/>
        <w:t>conclusion</w:t>
      </w:r>
      <w:r w:rsidR="00EC03BF">
        <w:t xml:space="preserve"> in </w:t>
      </w:r>
      <w:r w:rsidR="00EC03BF">
        <w:rPr>
          <w:i/>
        </w:rPr>
        <w:t>Fortescue</w:t>
      </w:r>
      <w:r w:rsidR="00EC03BF">
        <w:t xml:space="preserve"> ‘that s 51(ii) also prohibits a benefit which applies differentially as between States.’</w:t>
      </w:r>
      <w:r w:rsidR="00EC03BF">
        <w:rPr>
          <w:rStyle w:val="FootnoteReference"/>
        </w:rPr>
        <w:footnoteReference w:id="91"/>
      </w:r>
    </w:p>
    <w:p w14:paraId="50811B08" w14:textId="1A0AA0E0" w:rsidR="00A62274" w:rsidRDefault="001F2246" w:rsidP="003F2AA9">
      <w:pPr>
        <w:spacing w:line="480" w:lineRule="auto"/>
        <w:ind w:firstLine="720"/>
      </w:pPr>
      <w:r>
        <w:t>The Court unanimously</w:t>
      </w:r>
      <w:r w:rsidR="00A62274">
        <w:t xml:space="preserve"> </w:t>
      </w:r>
      <w:r w:rsidR="00ED0DDB">
        <w:t>upheld the ability of</w:t>
      </w:r>
      <w:r w:rsidR="00A62274">
        <w:t xml:space="preserve"> state egg boards to collect </w:t>
      </w:r>
      <w:r w:rsidR="00ED0DDB">
        <w:t>levies</w:t>
      </w:r>
      <w:r w:rsidR="00A62274">
        <w:t xml:space="preserve"> on the basis that having different collection agencies in </w:t>
      </w:r>
      <w:r w:rsidR="00C83989">
        <w:t>each state</w:t>
      </w:r>
      <w:r w:rsidR="00ED0DDB">
        <w:t xml:space="preserve"> imposed no additional burden on taxpayers</w:t>
      </w:r>
      <w:r w:rsidR="00A62274">
        <w:t>.</w:t>
      </w:r>
      <w:r w:rsidR="00A62274">
        <w:rPr>
          <w:rStyle w:val="FootnoteReference"/>
        </w:rPr>
        <w:footnoteReference w:id="92"/>
      </w:r>
      <w:r w:rsidR="00A62274">
        <w:t xml:space="preserve"> However, </w:t>
      </w:r>
      <w:r>
        <w:t xml:space="preserve">the majority held that </w:t>
      </w:r>
      <w:r w:rsidR="00ED0DDB">
        <w:t xml:space="preserve">the power of </w:t>
      </w:r>
      <w:r w:rsidR="00A62274">
        <w:t>s</w:t>
      </w:r>
      <w:r w:rsidR="00C572A4">
        <w:t>tate egg boards to retain money</w:t>
      </w:r>
      <w:r w:rsidR="00A62274">
        <w:t xml:space="preserve"> owed to taxpayers and transfer </w:t>
      </w:r>
      <w:r w:rsidR="00C572A4">
        <w:t>it</w:t>
      </w:r>
      <w:r w:rsidR="00A62274">
        <w:t xml:space="preserve"> to the Commonwealth </w:t>
      </w:r>
      <w:r w:rsidR="006F787E">
        <w:t xml:space="preserve">was discriminatory because it </w:t>
      </w:r>
      <w:r w:rsidR="00A62274">
        <w:t xml:space="preserve">constituted a particular disadvantage to </w:t>
      </w:r>
      <w:r w:rsidR="00C572A4">
        <w:t>hen owners</w:t>
      </w:r>
      <w:r w:rsidR="00A62274">
        <w:t xml:space="preserve"> in states which had concluded an arrangement with the Commonwealth.</w:t>
      </w:r>
      <w:r w:rsidR="00A62274">
        <w:rPr>
          <w:rStyle w:val="FootnoteReference"/>
        </w:rPr>
        <w:footnoteReference w:id="93"/>
      </w:r>
      <w:r w:rsidR="00A62274">
        <w:t xml:space="preserve"> In contrast, the minority held that</w:t>
      </w:r>
      <w:r w:rsidR="003239F5">
        <w:t xml:space="preserve"> </w:t>
      </w:r>
      <w:r w:rsidR="0032411C">
        <w:t>this</w:t>
      </w:r>
      <w:r w:rsidR="003239F5">
        <w:t xml:space="preserve"> power </w:t>
      </w:r>
      <w:r w:rsidR="006F787E">
        <w:t xml:space="preserve">was non-discriminatory because it </w:t>
      </w:r>
      <w:r w:rsidR="003239F5">
        <w:t>operated generally throughout the Commonwealth</w:t>
      </w:r>
      <w:r w:rsidR="0032411C">
        <w:t>.</w:t>
      </w:r>
      <w:r w:rsidR="0032411C">
        <w:rPr>
          <w:rStyle w:val="FootnoteReference"/>
        </w:rPr>
        <w:footnoteReference w:id="94"/>
      </w:r>
      <w:r w:rsidR="000E5F30">
        <w:t xml:space="preserve"> The majority focused on the substantial operation and effect of the uniform Act, while the minority focused on </w:t>
      </w:r>
      <w:r w:rsidR="00ED0DDB">
        <w:t xml:space="preserve">its </w:t>
      </w:r>
      <w:r w:rsidR="000E5F30">
        <w:t>uniform terms.</w:t>
      </w:r>
    </w:p>
    <w:p w14:paraId="3BE814AB" w14:textId="3AFA7FA9" w:rsidR="007E02F5" w:rsidRPr="007E02F5" w:rsidRDefault="00873EC2" w:rsidP="003F2AA9">
      <w:pPr>
        <w:spacing w:line="480" w:lineRule="auto"/>
        <w:ind w:firstLine="720"/>
      </w:pPr>
      <w:r>
        <w:t>Rose observed that ‘[t]he reasoning in the case is not clear, but the conclusion can be supported on the ground that such a law is invalid if the Commonwealth is free not to make an arrangement with a State requesting one.’</w:t>
      </w:r>
      <w:r>
        <w:rPr>
          <w:rStyle w:val="FootnoteReference"/>
        </w:rPr>
        <w:footnoteReference w:id="95"/>
      </w:r>
      <w:r>
        <w:t xml:space="preserve"> </w:t>
      </w:r>
      <w:r w:rsidR="00F40A4A">
        <w:t>Despite this lack of clarity, a</w:t>
      </w:r>
      <w:r w:rsidR="000E5F30">
        <w:t xml:space="preserve"> number of propositions</w:t>
      </w:r>
      <w:r>
        <w:t xml:space="preserve"> </w:t>
      </w:r>
      <w:r w:rsidR="00E55D7E">
        <w:t>arise from</w:t>
      </w:r>
      <w:r>
        <w:t xml:space="preserve"> the majority’s conclusion that the Act did discriminate between states</w:t>
      </w:r>
      <w:r w:rsidR="00C572A4">
        <w:t>, particularly</w:t>
      </w:r>
      <w:r w:rsidR="00E55D7E">
        <w:t xml:space="preserve"> in light of the fact that, while the uniform terms of the Act did not treat </w:t>
      </w:r>
      <w:r w:rsidR="00E55D7E">
        <w:rPr>
          <w:i/>
        </w:rPr>
        <w:t xml:space="preserve">the states </w:t>
      </w:r>
      <w:r w:rsidR="00E55D7E">
        <w:t xml:space="preserve">differently, they did treat </w:t>
      </w:r>
      <w:r w:rsidR="00E55D7E">
        <w:rPr>
          <w:i/>
        </w:rPr>
        <w:t xml:space="preserve">taxpayers </w:t>
      </w:r>
      <w:r w:rsidR="00E55D7E">
        <w:t xml:space="preserve">differently depending upon whether their state had concluded an arrangement with the Commonwealth. Firstly, Castan and Joseph observed that while </w:t>
      </w:r>
      <w:r w:rsidR="00E55D7E">
        <w:rPr>
          <w:i/>
        </w:rPr>
        <w:t xml:space="preserve">Conroy </w:t>
      </w:r>
      <w:r w:rsidR="00E55D7E">
        <w:t>involved no direct discrimination, ‘there is no doubt the Act did indirectly discriminate’</w:t>
      </w:r>
      <w:r w:rsidR="006F787E">
        <w:t>.</w:t>
      </w:r>
      <w:r w:rsidR="00E55D7E">
        <w:rPr>
          <w:rStyle w:val="FootnoteReference"/>
        </w:rPr>
        <w:footnoteReference w:id="96"/>
      </w:r>
      <w:r w:rsidR="00E55D7E">
        <w:t xml:space="preserve"> Thus, </w:t>
      </w:r>
      <w:r>
        <w:t xml:space="preserve">section 51(ii) prohibits both direct and indirect discrimination. </w:t>
      </w:r>
      <w:r w:rsidR="00E55D7E">
        <w:t>Consequently</w:t>
      </w:r>
      <w:r w:rsidR="00767703">
        <w:t xml:space="preserve">, an Act with uniform terms may nevertheless discriminate between states. </w:t>
      </w:r>
      <w:r>
        <w:lastRenderedPageBreak/>
        <w:t xml:space="preserve">Secondly, in determining whether such discrimination exists, a substance over form approach </w:t>
      </w:r>
      <w:r w:rsidR="007E02F5">
        <w:t>is</w:t>
      </w:r>
      <w:r>
        <w:t xml:space="preserve"> adopted. </w:t>
      </w:r>
      <w:r w:rsidR="0045420A">
        <w:t xml:space="preserve">Finally, section 51(ii) protects </w:t>
      </w:r>
      <w:r w:rsidR="00E55D7E">
        <w:t>persons</w:t>
      </w:r>
      <w:r w:rsidR="0045420A">
        <w:t xml:space="preserve"> rather </w:t>
      </w:r>
      <w:r w:rsidR="007E02F5">
        <w:t xml:space="preserve">than </w:t>
      </w:r>
      <w:r w:rsidR="0045420A">
        <w:t>the states as polities.</w:t>
      </w:r>
      <w:r w:rsidR="0045420A">
        <w:rPr>
          <w:rStyle w:val="FootnoteReference"/>
        </w:rPr>
        <w:footnoteReference w:id="97"/>
      </w:r>
    </w:p>
    <w:p w14:paraId="1076ECF7" w14:textId="526747B4" w:rsidR="00E47F8A" w:rsidRDefault="0028685C" w:rsidP="003F2AA9">
      <w:pPr>
        <w:pStyle w:val="Heading2"/>
        <w:spacing w:line="480" w:lineRule="auto"/>
        <w:rPr>
          <w:lang w:val="en-AU"/>
        </w:rPr>
      </w:pPr>
      <w:bookmarkStart w:id="26" w:name="_Toc449554426"/>
      <w:r>
        <w:rPr>
          <w:i w:val="0"/>
          <w:lang w:val="en-AU"/>
        </w:rPr>
        <w:t xml:space="preserve">C </w:t>
      </w:r>
      <w:r>
        <w:rPr>
          <w:lang w:val="en-AU"/>
        </w:rPr>
        <w:t>Relevance of Objectives and Proportionality</w:t>
      </w:r>
      <w:bookmarkEnd w:id="26"/>
    </w:p>
    <w:p w14:paraId="638C65F0" w14:textId="30650C29" w:rsidR="00661BB3" w:rsidRPr="006031E2" w:rsidRDefault="00A35C1A" w:rsidP="003F2AA9">
      <w:pPr>
        <w:spacing w:line="480" w:lineRule="auto"/>
        <w:rPr>
          <w:rFonts w:cs="Times New Roman"/>
          <w:lang w:val="en-AU"/>
        </w:rPr>
      </w:pPr>
      <w:r>
        <w:rPr>
          <w:rFonts w:cs="Times New Roman"/>
          <w:lang w:val="en-AU"/>
        </w:rPr>
        <w:tab/>
      </w:r>
      <w:r w:rsidR="00D607C6">
        <w:rPr>
          <w:rFonts w:cs="Times New Roman"/>
          <w:lang w:val="en-AU"/>
        </w:rPr>
        <w:t xml:space="preserve">In addition to </w:t>
      </w:r>
      <w:r w:rsidR="00DE4A50">
        <w:rPr>
          <w:rFonts w:cs="Times New Roman"/>
          <w:lang w:val="en-AU"/>
        </w:rPr>
        <w:t xml:space="preserve">clarifying the </w:t>
      </w:r>
      <w:r w:rsidR="00476367">
        <w:rPr>
          <w:rFonts w:cs="Times New Roman"/>
          <w:lang w:val="en-AU"/>
        </w:rPr>
        <w:t xml:space="preserve">differential </w:t>
      </w:r>
      <w:r w:rsidR="00DE4A50">
        <w:rPr>
          <w:rFonts w:cs="Times New Roman"/>
          <w:lang w:val="en-AU"/>
        </w:rPr>
        <w:t>treatment prohibited by section 51(ii),</w:t>
      </w:r>
      <w:r w:rsidR="00D607C6">
        <w:rPr>
          <w:rFonts w:cs="Times New Roman"/>
          <w:lang w:val="en-AU"/>
        </w:rPr>
        <w:t xml:space="preserve"> the existing jurisprudence shows that the objectives and proportionality of taxation laws are relevant to determining whether </w:t>
      </w:r>
      <w:r w:rsidR="003E66F1">
        <w:rPr>
          <w:rFonts w:cs="Times New Roman"/>
          <w:lang w:val="en-AU"/>
        </w:rPr>
        <w:t>such laws</w:t>
      </w:r>
      <w:r w:rsidR="00D607C6">
        <w:rPr>
          <w:rFonts w:cs="Times New Roman"/>
          <w:lang w:val="en-AU"/>
        </w:rPr>
        <w:t xml:space="preserve"> discriminate between states or parts</w:t>
      </w:r>
      <w:r w:rsidR="006031E2">
        <w:rPr>
          <w:rFonts w:cs="Times New Roman"/>
          <w:lang w:val="en-AU"/>
        </w:rPr>
        <w:t xml:space="preserve"> of states. In </w:t>
      </w:r>
      <w:r w:rsidR="006031E2">
        <w:rPr>
          <w:rFonts w:cs="Times New Roman"/>
          <w:i/>
          <w:lang w:val="en-AU"/>
        </w:rPr>
        <w:t>Colonial Sugar Refining Co Ltd v Irving</w:t>
      </w:r>
      <w:r w:rsidR="006031E2">
        <w:rPr>
          <w:rFonts w:cs="Times New Roman"/>
          <w:lang w:val="en-AU"/>
        </w:rPr>
        <w:t xml:space="preserve">, the taxpayer challenged the validity of uniform Commonwealth excise duties. In what was obviously an attempt to avoid double or cumulative taxation, the </w:t>
      </w:r>
      <w:r w:rsidR="00E55D7E">
        <w:rPr>
          <w:rFonts w:cs="Times New Roman"/>
          <w:lang w:val="en-AU"/>
        </w:rPr>
        <w:t xml:space="preserve">relevant </w:t>
      </w:r>
      <w:r w:rsidR="006031E2">
        <w:rPr>
          <w:rFonts w:cs="Times New Roman"/>
          <w:lang w:val="en-AU"/>
        </w:rPr>
        <w:t>Tariff exempted from duty items on which state excise duty had already been paid.</w:t>
      </w:r>
      <w:r w:rsidR="00DC6093">
        <w:rPr>
          <w:rStyle w:val="FootnoteReference"/>
          <w:rFonts w:cs="Times New Roman"/>
          <w:lang w:val="en-AU"/>
        </w:rPr>
        <w:footnoteReference w:id="98"/>
      </w:r>
      <w:r w:rsidR="006031E2">
        <w:rPr>
          <w:rFonts w:cs="Times New Roman"/>
          <w:lang w:val="en-AU"/>
        </w:rPr>
        <w:t xml:space="preserve"> Some states imposed </w:t>
      </w:r>
      <w:r w:rsidR="00C572A4">
        <w:rPr>
          <w:rFonts w:cs="Times New Roman"/>
          <w:lang w:val="en-AU"/>
        </w:rPr>
        <w:t>excise</w:t>
      </w:r>
      <w:r w:rsidR="006031E2">
        <w:rPr>
          <w:rFonts w:cs="Times New Roman"/>
          <w:lang w:val="en-AU"/>
        </w:rPr>
        <w:t xml:space="preserve"> duties (at rates that were either higher or lower than the Commonwealth rates), while others did not. </w:t>
      </w:r>
      <w:r w:rsidR="00E30618">
        <w:rPr>
          <w:rFonts w:cs="Times New Roman"/>
          <w:lang w:val="en-AU"/>
        </w:rPr>
        <w:t>Effectively, the Tariff</w:t>
      </w:r>
      <w:r w:rsidR="006031E2">
        <w:rPr>
          <w:rFonts w:cs="Times New Roman"/>
          <w:lang w:val="en-AU"/>
        </w:rPr>
        <w:t xml:space="preserve"> treated </w:t>
      </w:r>
      <w:r w:rsidR="00FD1478">
        <w:rPr>
          <w:rFonts w:cs="Times New Roman"/>
          <w:lang w:val="en-AU"/>
        </w:rPr>
        <w:t>manufacturers</w:t>
      </w:r>
      <w:r w:rsidR="006031E2">
        <w:rPr>
          <w:rFonts w:cs="Times New Roman"/>
          <w:lang w:val="en-AU"/>
        </w:rPr>
        <w:t xml:space="preserve"> in different states differently: it imposed </w:t>
      </w:r>
      <w:r w:rsidR="00C6006A">
        <w:rPr>
          <w:rFonts w:cs="Times New Roman"/>
          <w:lang w:val="en-AU"/>
        </w:rPr>
        <w:t>liability to duty</w:t>
      </w:r>
      <w:r w:rsidR="006031E2">
        <w:rPr>
          <w:rFonts w:cs="Times New Roman"/>
          <w:lang w:val="en-AU"/>
        </w:rPr>
        <w:t xml:space="preserve"> on </w:t>
      </w:r>
      <w:r w:rsidR="00FD1478">
        <w:rPr>
          <w:rFonts w:cs="Times New Roman"/>
          <w:lang w:val="en-AU"/>
        </w:rPr>
        <w:t>manufacturers</w:t>
      </w:r>
      <w:r w:rsidR="006031E2">
        <w:rPr>
          <w:rFonts w:cs="Times New Roman"/>
          <w:lang w:val="en-AU"/>
        </w:rPr>
        <w:t xml:space="preserve"> in some states but not in others.</w:t>
      </w:r>
      <w:r w:rsidR="00FD1478">
        <w:rPr>
          <w:rFonts w:cs="Times New Roman"/>
          <w:lang w:val="en-AU"/>
        </w:rPr>
        <w:t xml:space="preserve"> Colonial contended that this discriminated between the states.</w:t>
      </w:r>
    </w:p>
    <w:p w14:paraId="618EBDCB" w14:textId="267F522D" w:rsidR="0092132D" w:rsidRDefault="00DC6093" w:rsidP="003F2AA9">
      <w:pPr>
        <w:spacing w:line="480" w:lineRule="auto"/>
      </w:pPr>
      <w:r>
        <w:rPr>
          <w:rFonts w:cs="Times New Roman"/>
          <w:lang w:val="en-AU"/>
        </w:rPr>
        <w:tab/>
        <w:t xml:space="preserve">Both the Full Court of the Supreme Court of Queensland and the Privy Council held that the Tariff did not discriminate between states. </w:t>
      </w:r>
      <w:r w:rsidR="00593B22">
        <w:rPr>
          <w:rFonts w:cs="Times New Roman"/>
          <w:lang w:val="en-AU"/>
        </w:rPr>
        <w:t xml:space="preserve">For the Full Court, </w:t>
      </w:r>
      <w:r>
        <w:rPr>
          <w:rFonts w:cs="Times New Roman"/>
          <w:lang w:val="en-AU"/>
        </w:rPr>
        <w:t>this was because the exemption applied generally across Australia</w:t>
      </w:r>
      <w:r w:rsidR="003617C4">
        <w:t>.</w:t>
      </w:r>
      <w:r w:rsidR="003617C4">
        <w:rPr>
          <w:rStyle w:val="FootnoteReference"/>
        </w:rPr>
        <w:footnoteReference w:id="99"/>
      </w:r>
      <w:r w:rsidR="003617C4">
        <w:t xml:space="preserve"> </w:t>
      </w:r>
      <w:r>
        <w:t>Importantly</w:t>
      </w:r>
      <w:r w:rsidR="003617C4">
        <w:t xml:space="preserve">, </w:t>
      </w:r>
      <w:r>
        <w:t xml:space="preserve">the Court </w:t>
      </w:r>
      <w:r w:rsidR="003D00D2">
        <w:t>also held</w:t>
      </w:r>
      <w:r w:rsidR="003617C4">
        <w:t xml:space="preserve"> that the </w:t>
      </w:r>
      <w:r w:rsidR="00590EDC">
        <w:t>objective</w:t>
      </w:r>
      <w:r w:rsidR="003617C4">
        <w:t xml:space="preserve"> of the exemption was to avoid cumulative</w:t>
      </w:r>
      <w:r w:rsidR="00FA4D28">
        <w:t xml:space="preserve"> or double</w:t>
      </w:r>
      <w:r w:rsidR="003617C4">
        <w:t xml:space="preserve"> taxation and that </w:t>
      </w:r>
      <w:r w:rsidR="0022420E">
        <w:t>this</w:t>
      </w:r>
      <w:r w:rsidR="003617C4">
        <w:t xml:space="preserve"> </w:t>
      </w:r>
      <w:r w:rsidR="0022420E">
        <w:t>‘</w:t>
      </w:r>
      <w:r w:rsidR="003617C4">
        <w:t>is cogent as showing that there is no substantial basis for the objection in point of justice.’</w:t>
      </w:r>
      <w:r w:rsidR="0092132D">
        <w:rPr>
          <w:rStyle w:val="FootnoteReference"/>
        </w:rPr>
        <w:footnoteReference w:id="100"/>
      </w:r>
      <w:r w:rsidR="00BA3740">
        <w:t xml:space="preserve"> </w:t>
      </w:r>
      <w:r w:rsidR="0092132D">
        <w:t xml:space="preserve">Delivering the judgment of the </w:t>
      </w:r>
      <w:r>
        <w:t>Privy Council</w:t>
      </w:r>
      <w:r w:rsidR="0092132D">
        <w:t xml:space="preserve">, Lord Davey rejected </w:t>
      </w:r>
      <w:r w:rsidR="00E23353">
        <w:t>an</w:t>
      </w:r>
      <w:r w:rsidR="0092132D">
        <w:t xml:space="preserve"> argument that the exemption was ‘arbitrary and indefensible’, </w:t>
      </w:r>
      <w:r w:rsidR="00BA3740">
        <w:t xml:space="preserve">by referring </w:t>
      </w:r>
      <w:r>
        <w:t xml:space="preserve">expressly </w:t>
      </w:r>
      <w:r w:rsidR="00BA3740">
        <w:t xml:space="preserve">to </w:t>
      </w:r>
      <w:r w:rsidR="00D82F8D">
        <w:t>its</w:t>
      </w:r>
      <w:r w:rsidR="00BA3740">
        <w:t xml:space="preserve"> objective and </w:t>
      </w:r>
      <w:r w:rsidR="00EE155D">
        <w:t>proportionality</w:t>
      </w:r>
      <w:r w:rsidR="0092132D">
        <w:t>:</w:t>
      </w:r>
    </w:p>
    <w:p w14:paraId="356BC721" w14:textId="3E555EDD" w:rsidR="0092132D" w:rsidRPr="0092132D" w:rsidRDefault="0092132D" w:rsidP="0092132D">
      <w:pPr>
        <w:ind w:left="720"/>
        <w:rPr>
          <w:sz w:val="20"/>
        </w:rPr>
      </w:pPr>
      <w:r w:rsidRPr="0092132D">
        <w:rPr>
          <w:sz w:val="20"/>
        </w:rPr>
        <w:t xml:space="preserve">The substance of the enactment in question is that goods which have already paid customs or excise duties shall not pay over again, and some such provision is </w:t>
      </w:r>
      <w:r w:rsidRPr="00FF2288">
        <w:rPr>
          <w:i/>
          <w:sz w:val="20"/>
        </w:rPr>
        <w:t>obviously necessary</w:t>
      </w:r>
      <w:r w:rsidRPr="0092132D">
        <w:rPr>
          <w:sz w:val="20"/>
        </w:rPr>
        <w:t xml:space="preserve"> in the transition from </w:t>
      </w:r>
      <w:r w:rsidRPr="0092132D">
        <w:rPr>
          <w:sz w:val="20"/>
        </w:rPr>
        <w:lastRenderedPageBreak/>
        <w:t xml:space="preserve">the old order to the new. </w:t>
      </w:r>
      <w:r w:rsidR="006F5A32">
        <w:rPr>
          <w:sz w:val="20"/>
        </w:rPr>
        <w:t>..</w:t>
      </w:r>
      <w:r w:rsidRPr="0092132D">
        <w:rPr>
          <w:sz w:val="20"/>
        </w:rPr>
        <w:t xml:space="preserve">. The exemption from the new excise duties on the ground of previous payment of customs duties </w:t>
      </w:r>
      <w:r w:rsidRPr="00FF2288">
        <w:rPr>
          <w:i/>
          <w:sz w:val="20"/>
        </w:rPr>
        <w:t>seems justifiable and right</w:t>
      </w:r>
      <w:r w:rsidRPr="0092132D">
        <w:rPr>
          <w:sz w:val="20"/>
        </w:rPr>
        <w:t xml:space="preserve"> in establishing a system based on the absolute freedom of trade among the States, and the substitution of a uniform excise for all inter-State duties on goods as well as what are strictly excise duties.</w:t>
      </w:r>
      <w:r>
        <w:rPr>
          <w:rStyle w:val="FootnoteReference"/>
          <w:sz w:val="20"/>
        </w:rPr>
        <w:footnoteReference w:id="101"/>
      </w:r>
    </w:p>
    <w:p w14:paraId="75E48BB7" w14:textId="77777777" w:rsidR="009E43C4" w:rsidRDefault="009E43C4" w:rsidP="00AE4F32"/>
    <w:p w14:paraId="19CF7E68" w14:textId="039D542A" w:rsidR="00BA3740" w:rsidRDefault="00BA3740" w:rsidP="003F2AA9">
      <w:pPr>
        <w:spacing w:line="480" w:lineRule="auto"/>
      </w:pPr>
      <w:r>
        <w:t xml:space="preserve">Significantly, both </w:t>
      </w:r>
      <w:r w:rsidR="006422EA">
        <w:t xml:space="preserve">courts </w:t>
      </w:r>
      <w:r>
        <w:t xml:space="preserve">identified the objective of </w:t>
      </w:r>
      <w:r w:rsidR="00B9748C">
        <w:t>avoiding double or cumulative taxation</w:t>
      </w:r>
      <w:r>
        <w:t xml:space="preserve"> </w:t>
      </w:r>
      <w:r w:rsidR="004C7DEC">
        <w:t xml:space="preserve">and </w:t>
      </w:r>
      <w:r w:rsidR="006422EA">
        <w:t>found</w:t>
      </w:r>
      <w:r w:rsidR="004C7DEC">
        <w:t xml:space="preserve"> that it was </w:t>
      </w:r>
      <w:r w:rsidR="00B9748C">
        <w:t xml:space="preserve">a </w:t>
      </w:r>
      <w:r w:rsidR="00446810">
        <w:t>proper</w:t>
      </w:r>
      <w:r w:rsidR="00B9748C">
        <w:t xml:space="preserve"> </w:t>
      </w:r>
      <w:r w:rsidR="00F9323D">
        <w:t xml:space="preserve">basis </w:t>
      </w:r>
      <w:r w:rsidR="005B4A0D">
        <w:t>up</w:t>
      </w:r>
      <w:r w:rsidR="00B9748C">
        <w:t>on which to differentiate between taxpayers</w:t>
      </w:r>
      <w:r w:rsidR="004C7DEC">
        <w:t>. The Privy C</w:t>
      </w:r>
      <w:r w:rsidR="006422EA">
        <w:t xml:space="preserve">ouncil went further and referred to the necessity of the </w:t>
      </w:r>
      <w:r w:rsidR="006F787E">
        <w:t>exemption</w:t>
      </w:r>
      <w:r w:rsidR="006422EA">
        <w:t>, which is an integral element in modern proportionality tests</w:t>
      </w:r>
      <w:r w:rsidR="004C7DEC">
        <w:t xml:space="preserve">. </w:t>
      </w:r>
      <w:r w:rsidR="006F5A32">
        <w:t xml:space="preserve">This shows that objectives and proportionality </w:t>
      </w:r>
      <w:r w:rsidR="006F787E">
        <w:t xml:space="preserve">are </w:t>
      </w:r>
      <w:r w:rsidR="006F5A32">
        <w:t xml:space="preserve">an integral part of the section 51(ii) </w:t>
      </w:r>
      <w:r w:rsidR="006F787E">
        <w:t>prohibition on</w:t>
      </w:r>
      <w:r w:rsidR="006F5A32">
        <w:t xml:space="preserve"> discrimination</w:t>
      </w:r>
      <w:r w:rsidR="004C7DEC">
        <w:t>.</w:t>
      </w:r>
    </w:p>
    <w:p w14:paraId="48E60416" w14:textId="0C9BD1EB" w:rsidR="00E23353" w:rsidRDefault="00E6510C" w:rsidP="003F2AA9">
      <w:pPr>
        <w:spacing w:line="480" w:lineRule="auto"/>
      </w:pPr>
      <w:r>
        <w:tab/>
      </w:r>
      <w:r w:rsidR="00B9748C">
        <w:t xml:space="preserve">Similar reasoning was applied by the Privy Council in </w:t>
      </w:r>
      <w:r w:rsidR="00FB685D">
        <w:rPr>
          <w:i/>
        </w:rPr>
        <w:t xml:space="preserve">W R Moran Pty Ltd </w:t>
      </w:r>
      <w:proofErr w:type="gramStart"/>
      <w:r w:rsidR="00FB685D">
        <w:rPr>
          <w:i/>
        </w:rPr>
        <w:t>v</w:t>
      </w:r>
      <w:proofErr w:type="gramEnd"/>
      <w:r w:rsidR="00FB685D">
        <w:rPr>
          <w:i/>
        </w:rPr>
        <w:t xml:space="preserve"> Deputy Commissioner of Taxation (NSW)</w:t>
      </w:r>
      <w:r w:rsidR="00FB685D">
        <w:t xml:space="preserve">. That case involved a complicated scheme of legislation passed by the Commonwealth and states designed to establish a minimum price </w:t>
      </w:r>
      <w:r w:rsidR="00A064D6">
        <w:t>for wheat</w:t>
      </w:r>
      <w:r w:rsidR="00FB685D">
        <w:t xml:space="preserve">. </w:t>
      </w:r>
      <w:r w:rsidR="008F75E5">
        <w:t>I</w:t>
      </w:r>
      <w:r w:rsidR="00FB685D">
        <w:t xml:space="preserve">ntegral </w:t>
      </w:r>
      <w:r w:rsidR="008F75E5">
        <w:t>to this</w:t>
      </w:r>
      <w:r w:rsidR="00FB685D">
        <w:t xml:space="preserve"> </w:t>
      </w:r>
      <w:r w:rsidR="00202D7E">
        <w:t>scheme was the imposition of a Commonwealth excise duty on flour and wheat payable by millers, the proceeds of which were appropriated by separate legislation and granted to the states on the condition that they distribute the money to wheat farmers in proportion to the quantity of wheat they had produced.</w:t>
      </w:r>
      <w:r w:rsidR="00FB685D">
        <w:t xml:space="preserve"> Acknowledging that Tasmania </w:t>
      </w:r>
      <w:r w:rsidR="00A064D6">
        <w:t xml:space="preserve">produced </w:t>
      </w:r>
      <w:r w:rsidR="00202D7E">
        <w:t>very little wheat, the scheme effectively exempted Tasmanian millers (and, indirectly, co</w:t>
      </w:r>
      <w:r w:rsidR="00712302">
        <w:t>nsumers) from duty, by the Commonwealth appropriation legislation permitting</w:t>
      </w:r>
      <w:r w:rsidR="00202D7E">
        <w:t xml:space="preserve"> all duty collected in Tasmania to be refunded. Overall, the scheme imposed excise duty </w:t>
      </w:r>
      <w:r w:rsidR="00A064D6">
        <w:t>across</w:t>
      </w:r>
      <w:r w:rsidR="00202D7E">
        <w:t xml:space="preserve"> Australia</w:t>
      </w:r>
      <w:r w:rsidR="00A064D6">
        <w:t>,</w:t>
      </w:r>
      <w:r w:rsidR="00202D7E">
        <w:t xml:space="preserve"> except Tasmania.</w:t>
      </w:r>
    </w:p>
    <w:p w14:paraId="3B37A5AC" w14:textId="30F228A4" w:rsidR="00E23353" w:rsidRPr="00840447" w:rsidRDefault="00202D7E" w:rsidP="003F2AA9">
      <w:pPr>
        <w:spacing w:line="480" w:lineRule="auto"/>
      </w:pPr>
      <w:r>
        <w:tab/>
        <w:t xml:space="preserve">A majority of the High Court of Australia </w:t>
      </w:r>
      <w:r w:rsidR="00712302">
        <w:t xml:space="preserve">focused on the form of the scheme </w:t>
      </w:r>
      <w:r w:rsidR="00A064D6">
        <w:t>rather than</w:t>
      </w:r>
      <w:r w:rsidR="00712302">
        <w:t xml:space="preserve"> its substance. </w:t>
      </w:r>
      <w:r w:rsidR="00A064D6">
        <w:t>The majority</w:t>
      </w:r>
      <w:r w:rsidR="00712302">
        <w:t xml:space="preserve"> emphasised that the section 51(ii) di</w:t>
      </w:r>
      <w:r w:rsidR="00C42C2E">
        <w:t>scrimination prohibition applies</w:t>
      </w:r>
      <w:r w:rsidR="00712302">
        <w:t xml:space="preserve"> only to taxation laws, not appropriation laws, and that the excise duty </w:t>
      </w:r>
      <w:r w:rsidR="00385DFB">
        <w:t>in this case applied uniformly across Australia. Thus, the excise duty did not discriminate between states.</w:t>
      </w:r>
      <w:r w:rsidR="00385DFB">
        <w:rPr>
          <w:rStyle w:val="FootnoteReference"/>
        </w:rPr>
        <w:footnoteReference w:id="102"/>
      </w:r>
      <w:r w:rsidR="00840447">
        <w:t xml:space="preserve"> Echoing </w:t>
      </w:r>
      <w:r w:rsidR="00840447">
        <w:rPr>
          <w:i/>
        </w:rPr>
        <w:t xml:space="preserve">obiter </w:t>
      </w:r>
      <w:r w:rsidR="00840447">
        <w:t xml:space="preserve">statements in </w:t>
      </w:r>
      <w:r w:rsidR="00840447">
        <w:rPr>
          <w:i/>
        </w:rPr>
        <w:t xml:space="preserve">Barger </w:t>
      </w:r>
      <w:r w:rsidR="00840447">
        <w:t xml:space="preserve">and </w:t>
      </w:r>
      <w:r w:rsidR="00840447">
        <w:rPr>
          <w:i/>
        </w:rPr>
        <w:t>Cameron</w:t>
      </w:r>
      <w:r w:rsidR="00840447">
        <w:t>,</w:t>
      </w:r>
      <w:r w:rsidR="00840447">
        <w:rPr>
          <w:rStyle w:val="FootnoteReference"/>
        </w:rPr>
        <w:footnoteReference w:id="103"/>
      </w:r>
      <w:r w:rsidR="00136D0C">
        <w:t xml:space="preserve"> </w:t>
      </w:r>
      <w:r w:rsidR="00FC2ED4">
        <w:t xml:space="preserve">Latham CJ emphasised that </w:t>
      </w:r>
      <w:r w:rsidR="00FC2ED4">
        <w:lastRenderedPageBreak/>
        <w:t>because the legislative power to tax is not purposive, the purpose of a taxation law is irrelevant to its validity; it followed that ‘the presence of a purpose to discriminate would equally be nothing to the point.’</w:t>
      </w:r>
      <w:r w:rsidR="00FC2ED4">
        <w:rPr>
          <w:rStyle w:val="FootnoteReference"/>
        </w:rPr>
        <w:footnoteReference w:id="104"/>
      </w:r>
      <w:r w:rsidR="00136D0C">
        <w:t xml:space="preserve"> </w:t>
      </w:r>
      <w:r w:rsidR="00F62959">
        <w:t>Similarly, St</w:t>
      </w:r>
      <w:r w:rsidR="00FC2ED4">
        <w:t>a</w:t>
      </w:r>
      <w:r w:rsidR="00F62959">
        <w:t>r</w:t>
      </w:r>
      <w:r w:rsidR="00FC2ED4">
        <w:t>ke J stated that ‘the motives which actuated the legislature, the end desired, and the indirect effect of [an] Act were all equally irrelevant.’</w:t>
      </w:r>
      <w:r w:rsidR="00FC2ED4">
        <w:rPr>
          <w:rStyle w:val="FootnoteReference"/>
        </w:rPr>
        <w:footnoteReference w:id="105"/>
      </w:r>
    </w:p>
    <w:p w14:paraId="1810CB92" w14:textId="36671F0E" w:rsidR="00C63542" w:rsidRDefault="00E23353" w:rsidP="003F2AA9">
      <w:pPr>
        <w:spacing w:line="480" w:lineRule="auto"/>
        <w:ind w:firstLine="720"/>
      </w:pPr>
      <w:r>
        <w:t xml:space="preserve">On appeal, the Privy Council upheld the decision of the High Court but rejected key aspects of </w:t>
      </w:r>
      <w:r w:rsidR="00A064D6">
        <w:t>its</w:t>
      </w:r>
      <w:r>
        <w:t xml:space="preserve"> reasoning. In a </w:t>
      </w:r>
      <w:r w:rsidR="00A064D6">
        <w:t>‘somewhat obscure’ speech,</w:t>
      </w:r>
      <w:r w:rsidR="00A064D6">
        <w:rPr>
          <w:rStyle w:val="FootnoteReference"/>
        </w:rPr>
        <w:footnoteReference w:id="106"/>
      </w:r>
      <w:r w:rsidR="00A064D6">
        <w:t xml:space="preserve"> </w:t>
      </w:r>
      <w:r>
        <w:t xml:space="preserve">Viscount Maugham held that </w:t>
      </w:r>
      <w:r w:rsidR="004557AB">
        <w:t xml:space="preserve">when determining the validity of </w:t>
      </w:r>
      <w:r>
        <w:t>a scheme of legislation</w:t>
      </w:r>
      <w:r w:rsidR="004557AB">
        <w:t xml:space="preserve">, </w:t>
      </w:r>
      <w:r w:rsidR="00C63542">
        <w:t>the courts must consider the real substance and purpose of the scheme as a whole (meaning its scope, ultimate effect and function)</w:t>
      </w:r>
      <w:r w:rsidR="004557AB">
        <w:t>.</w:t>
      </w:r>
      <w:r w:rsidR="004557AB">
        <w:rPr>
          <w:rStyle w:val="FootnoteReference"/>
        </w:rPr>
        <w:footnoteReference w:id="107"/>
      </w:r>
      <w:r w:rsidR="00C63542">
        <w:t xml:space="preserve"> </w:t>
      </w:r>
      <w:r w:rsidR="00A064D6">
        <w:t>His Lordship found</w:t>
      </w:r>
      <w:r>
        <w:t xml:space="preserve"> that the exemption of Tasmanian taxpayers was ‘in its purpose and substance unobjectionable’ because it was enacted ‘for the </w:t>
      </w:r>
      <w:r w:rsidRPr="006517EB">
        <w:rPr>
          <w:i/>
        </w:rPr>
        <w:t>purpose of equalizing the burd</w:t>
      </w:r>
      <w:r w:rsidRPr="00CB2EF3">
        <w:rPr>
          <w:i/>
        </w:rPr>
        <w:t>en on the inhabitants of Tasmania</w:t>
      </w:r>
      <w:r>
        <w:t xml:space="preserve"> of taxation which was being imposed on all millers throughout the Commonwealth for </w:t>
      </w:r>
      <w:r w:rsidRPr="006517EB">
        <w:rPr>
          <w:i/>
        </w:rPr>
        <w:t>an end which might reasonably be considered to be both just and expedient</w:t>
      </w:r>
      <w:r>
        <w:t>.’</w:t>
      </w:r>
      <w:r>
        <w:rPr>
          <w:rStyle w:val="FootnoteReference"/>
        </w:rPr>
        <w:footnoteReference w:id="108"/>
      </w:r>
      <w:r>
        <w:t xml:space="preserve"> </w:t>
      </w:r>
      <w:r w:rsidR="00A064D6">
        <w:t>Consequently,</w:t>
      </w:r>
      <w:r w:rsidR="005B4A0D">
        <w:t xml:space="preserve"> the objective</w:t>
      </w:r>
      <w:r w:rsidR="00EB4617">
        <w:t>s and proportionality</w:t>
      </w:r>
      <w:r w:rsidR="005B4A0D">
        <w:t xml:space="preserve"> of </w:t>
      </w:r>
      <w:r w:rsidR="005C6F9D">
        <w:t xml:space="preserve">the laws in </w:t>
      </w:r>
      <w:r w:rsidR="005C6F9D">
        <w:rPr>
          <w:i/>
        </w:rPr>
        <w:t xml:space="preserve">Moran </w:t>
      </w:r>
      <w:r w:rsidR="005C6F9D">
        <w:t>were relevant to determining whether they discriminated for the purposes of section 51(ii)</w:t>
      </w:r>
      <w:r w:rsidR="005B4A0D">
        <w:t>.</w:t>
      </w:r>
    </w:p>
    <w:p w14:paraId="32B98219" w14:textId="3C0B5272" w:rsidR="00A036FC" w:rsidRDefault="00824A7F" w:rsidP="003F2AA9">
      <w:pPr>
        <w:spacing w:line="480" w:lineRule="auto"/>
        <w:ind w:firstLine="720"/>
      </w:pPr>
      <w:r>
        <w:t>This</w:t>
      </w:r>
      <w:r w:rsidR="00C56EFE">
        <w:t xml:space="preserve"> division of opinion between the High Court and Privy Council on the relevance of objectives and proportionality was reflected in the division of opinion between French CJ and the plurality in </w:t>
      </w:r>
      <w:r w:rsidR="00C56EFE">
        <w:rPr>
          <w:i/>
        </w:rPr>
        <w:t>Fortescue</w:t>
      </w:r>
      <w:r w:rsidR="00C56EFE">
        <w:t xml:space="preserve">. </w:t>
      </w:r>
      <w:r w:rsidR="00A064D6">
        <w:rPr>
          <w:i/>
        </w:rPr>
        <w:t xml:space="preserve">Fortescue </w:t>
      </w:r>
      <w:r w:rsidR="00A064D6">
        <w:t>involved</w:t>
      </w:r>
      <w:r>
        <w:t xml:space="preserve"> a challenge to a Commonwealth project-based tax on profits from the extraction of </w:t>
      </w:r>
      <w:r w:rsidR="007F38A2">
        <w:t>specified minerals</w:t>
      </w:r>
      <w:r w:rsidR="00735C6C">
        <w:t xml:space="preserve"> called the Minerals Resource Rent Tax (MRRT)</w:t>
      </w:r>
      <w:r>
        <w:t xml:space="preserve">. The </w:t>
      </w:r>
      <w:r w:rsidR="00735C6C">
        <w:t>MRRT</w:t>
      </w:r>
      <w:r>
        <w:t xml:space="preserve"> legislation granted taxpayers the equivalent of an offset for the amount of state or territory </w:t>
      </w:r>
      <w:r w:rsidR="00AA34A4">
        <w:t>royalties paid on</w:t>
      </w:r>
      <w:r>
        <w:t xml:space="preserve"> the extraction of </w:t>
      </w:r>
      <w:r w:rsidR="007F38A2">
        <w:t xml:space="preserve">taxable </w:t>
      </w:r>
      <w:r>
        <w:t xml:space="preserve">minerals. Royalty </w:t>
      </w:r>
      <w:r>
        <w:lastRenderedPageBreak/>
        <w:t>rates varied between states and territories. Fortescue argued that</w:t>
      </w:r>
      <w:r w:rsidR="00736B7C">
        <w:t xml:space="preserve"> this meant the </w:t>
      </w:r>
      <w:r w:rsidR="00AA34A4">
        <w:t>MRRT</w:t>
      </w:r>
      <w:r w:rsidR="00736B7C">
        <w:t xml:space="preserve"> discriminated between states</w:t>
      </w:r>
      <w:r>
        <w:t xml:space="preserve">. Aside from French CJ, each member of the Court effectively held that the offset was </w:t>
      </w:r>
      <w:r w:rsidR="005C6F9D">
        <w:t>non-</w:t>
      </w:r>
      <w:r>
        <w:t>discriminatory because it applied uniformly across Australia and that any differential effect it had between taxpayers was the result of t</w:t>
      </w:r>
      <w:r w:rsidR="00A741A2">
        <w:t>he state royalties legislation.</w:t>
      </w:r>
      <w:r w:rsidR="001B7AA9">
        <w:rPr>
          <w:rStyle w:val="FootnoteReference"/>
        </w:rPr>
        <w:footnoteReference w:id="109"/>
      </w:r>
    </w:p>
    <w:p w14:paraId="34736D29" w14:textId="5361A29D" w:rsidR="001B7AA9" w:rsidRDefault="00311A78" w:rsidP="003F2AA9">
      <w:pPr>
        <w:spacing w:line="480" w:lineRule="auto"/>
      </w:pPr>
      <w:r>
        <w:tab/>
        <w:t>Given that these members of the Court had concluded that the MRRT legislation imposed no differential treatment, it was unnecessary for them to consider the relevance of</w:t>
      </w:r>
      <w:r w:rsidR="00AA34A4">
        <w:t xml:space="preserve"> objectives and proportionality.</w:t>
      </w:r>
      <w:r>
        <w:t xml:space="preserve"> Crennan and Kiefel JJ did not</w:t>
      </w:r>
      <w:r w:rsidR="00CA2C5A">
        <w:t xml:space="preserve">, while </w:t>
      </w:r>
      <w:r>
        <w:t xml:space="preserve">the plurality </w:t>
      </w:r>
      <w:r w:rsidR="003E0CD4">
        <w:t>did</w:t>
      </w:r>
      <w:r>
        <w:t xml:space="preserve">. </w:t>
      </w:r>
      <w:r w:rsidR="00F2064B">
        <w:t>Proceeding</w:t>
      </w:r>
      <w:r w:rsidR="001B7AA9">
        <w:t xml:space="preserve"> from the starting point that section 51(ii) mandates the relevant</w:t>
      </w:r>
      <w:r w:rsidR="00F2064B">
        <w:t xml:space="preserve"> comparator for discrimination (namely, </w:t>
      </w:r>
      <w:r w:rsidR="001B7AA9">
        <w:t>states or parts of states</w:t>
      </w:r>
      <w:r w:rsidR="00F2064B">
        <w:t xml:space="preserve">), it followed, the plurality reasoned, </w:t>
      </w:r>
      <w:r w:rsidR="001B7AA9">
        <w:t>that section 51(ii) is a prohibition ‘cast in absolute terms’</w:t>
      </w:r>
      <w:r w:rsidR="00AA34A4">
        <w:t xml:space="preserve">, which excludes consideration </w:t>
      </w:r>
      <w:r w:rsidR="00B03F69">
        <w:t>of objectives and proportionality</w:t>
      </w:r>
      <w:r w:rsidR="00723E50">
        <w:t>:</w:t>
      </w:r>
    </w:p>
    <w:p w14:paraId="7B6F9DE1" w14:textId="167616B1" w:rsidR="001B7AA9" w:rsidRPr="00BD7CFB" w:rsidRDefault="001B7AA9" w:rsidP="001B7AA9">
      <w:pPr>
        <w:ind w:left="720"/>
        <w:rPr>
          <w:sz w:val="20"/>
        </w:rPr>
      </w:pPr>
      <w:r w:rsidRPr="00C26802">
        <w:rPr>
          <w:i/>
          <w:sz w:val="20"/>
        </w:rPr>
        <w:t>s 51(ii) may be read as assuming that there are no differences between States (or parts of States) which could warrant a law with respect to taxation distinguishing between them</w:t>
      </w:r>
      <w:r w:rsidRPr="00BD7CFB">
        <w:rPr>
          <w:sz w:val="20"/>
        </w:rPr>
        <w:t xml:space="preserve">. </w:t>
      </w:r>
      <w:r w:rsidR="00CD32A1">
        <w:rPr>
          <w:sz w:val="20"/>
        </w:rPr>
        <w:t>...</w:t>
      </w:r>
      <w:r w:rsidRPr="00BD7CFB">
        <w:rPr>
          <w:sz w:val="20"/>
        </w:rPr>
        <w:t xml:space="preserve"> If this is the assumption that underpins s 51(ii), it would follow that, if a law with respect to taxation does discriminate between States (or parts of States), no further question could arise about whether the distinction that the law created or drew might none the less be explained or justified in a way that would take the challenged law outside the qualifying words of the provision. And if no further question of that kind need be answered, there would be no occasion to identify or consider the relationship that the law may have </w:t>
      </w:r>
      <w:r w:rsidR="00B03F69">
        <w:rPr>
          <w:sz w:val="20"/>
        </w:rPr>
        <w:t xml:space="preserve">with some object or end which is identified as ‘proper’ or ‘legitimate’, </w:t>
      </w:r>
      <w:r w:rsidRPr="00BD7CFB">
        <w:rPr>
          <w:sz w:val="20"/>
        </w:rPr>
        <w:t>because there could be no object or end that could constitute or reflect some difference between States (or parts of States) which would just</w:t>
      </w:r>
      <w:r>
        <w:rPr>
          <w:sz w:val="20"/>
        </w:rPr>
        <w:t>ify distinguishing between them</w:t>
      </w:r>
      <w:r w:rsidRPr="00BD7CFB">
        <w:rPr>
          <w:sz w:val="20"/>
        </w:rPr>
        <w:t>.</w:t>
      </w:r>
      <w:r>
        <w:rPr>
          <w:rStyle w:val="FootnoteReference"/>
          <w:sz w:val="20"/>
        </w:rPr>
        <w:footnoteReference w:id="110"/>
      </w:r>
      <w:r w:rsidRPr="00BD7CFB">
        <w:rPr>
          <w:sz w:val="20"/>
        </w:rPr>
        <w:t xml:space="preserve"> </w:t>
      </w:r>
    </w:p>
    <w:p w14:paraId="0408C3A4" w14:textId="77777777" w:rsidR="001B7AA9" w:rsidRDefault="001B7AA9" w:rsidP="001B7AA9"/>
    <w:p w14:paraId="6912537F" w14:textId="4A3BF488" w:rsidR="00CD32A1" w:rsidRPr="00582738" w:rsidRDefault="00CD32A1" w:rsidP="003F2AA9">
      <w:pPr>
        <w:spacing w:line="480" w:lineRule="auto"/>
      </w:pPr>
      <w:r>
        <w:t xml:space="preserve">The plurality’s starting premise, that section 51(ii) </w:t>
      </w:r>
      <w:r w:rsidR="00B03F69">
        <w:t xml:space="preserve">is an absolute prohibition because it </w:t>
      </w:r>
      <w:r>
        <w:t xml:space="preserve">mandates a comparator, </w:t>
      </w:r>
      <w:r w:rsidR="001B7AA9">
        <w:t xml:space="preserve">forms the lynchpin of </w:t>
      </w:r>
      <w:r>
        <w:t>their</w:t>
      </w:r>
      <w:r w:rsidR="001B7AA9">
        <w:t xml:space="preserve"> reasoning.</w:t>
      </w:r>
      <w:r>
        <w:t xml:space="preserve"> It is unclear why a provision that mandates a comparator must inexorably be absolute and exclude consideration of objectives and proportionality. </w:t>
      </w:r>
      <w:r w:rsidR="00B03F69">
        <w:t>S</w:t>
      </w:r>
      <w:r>
        <w:t xml:space="preserve">ections 92 and 99 of the </w:t>
      </w:r>
      <w:r>
        <w:rPr>
          <w:i/>
        </w:rPr>
        <w:t xml:space="preserve">Constitution </w:t>
      </w:r>
      <w:r>
        <w:t xml:space="preserve">also mandate the same comparator, but the Court has not held that </w:t>
      </w:r>
      <w:r w:rsidR="00B03F69">
        <w:t>they are</w:t>
      </w:r>
      <w:r>
        <w:t xml:space="preserve"> absolute. Quite the contrary: it has held that the objectives and proportionality of differential treatment are relevant to determining </w:t>
      </w:r>
      <w:r>
        <w:lastRenderedPageBreak/>
        <w:t xml:space="preserve">whether those </w:t>
      </w:r>
      <w:r w:rsidR="00B03F69">
        <w:t>sections</w:t>
      </w:r>
      <w:r>
        <w:t xml:space="preserve"> have been breached.</w:t>
      </w:r>
      <w:r w:rsidR="00595FA8">
        <w:rPr>
          <w:rStyle w:val="FootnoteReference"/>
        </w:rPr>
        <w:footnoteReference w:id="111"/>
      </w:r>
      <w:r>
        <w:t xml:space="preserve"> Consequently, Simpson has described the plurality’s reasoning as ‘puzzling’, ‘anomalous’ and ‘inadequate’, arguing that </w:t>
      </w:r>
      <w:r w:rsidR="00676501">
        <w:t>it</w:t>
      </w:r>
      <w:r>
        <w:t xml:space="preserve"> ‘is certainly not, alone, a solid basis for departing from a consistent line of reasoning in related contexts over 25 years.’</w:t>
      </w:r>
      <w:r>
        <w:rPr>
          <w:rStyle w:val="FootnoteReference"/>
        </w:rPr>
        <w:footnoteReference w:id="112"/>
      </w:r>
    </w:p>
    <w:p w14:paraId="7F1A0C27" w14:textId="65AFE948" w:rsidR="00CD32A1" w:rsidRPr="00EC1A29" w:rsidRDefault="00CD32A1" w:rsidP="003F2AA9">
      <w:pPr>
        <w:spacing w:line="480" w:lineRule="auto"/>
        <w:ind w:firstLine="720"/>
      </w:pPr>
      <w:r>
        <w:t>Even if this inconsistency is ignored, problems remain with the way the plurality has identified the relevant comparator for section 51(ii). By arguing that any differential treatment between states constitutes discrimination, their</w:t>
      </w:r>
      <w:r w:rsidR="00C577F3">
        <w:t xml:space="preserve"> Honours</w:t>
      </w:r>
      <w:r>
        <w:t xml:space="preserve"> appear to be proceeding from an unstated premise that the expression ‘states or parts of states’ means the states as polities and not </w:t>
      </w:r>
      <w:r w:rsidR="00C368F4">
        <w:t>peoples connected with the</w:t>
      </w:r>
      <w:r>
        <w:t xml:space="preserve"> states.</w:t>
      </w:r>
      <w:r>
        <w:rPr>
          <w:rStyle w:val="FootnoteReference"/>
        </w:rPr>
        <w:footnoteReference w:id="113"/>
      </w:r>
      <w:r>
        <w:t xml:space="preserve"> This premise leads to the inevitable conclusion that every person in </w:t>
      </w:r>
      <w:r w:rsidR="00C577F3">
        <w:t>Australia is relevantly comparable</w:t>
      </w:r>
      <w:r>
        <w:t xml:space="preserve"> at all times and for all purposes. This premise and conclusion are contradicted by the draftin</w:t>
      </w:r>
      <w:r w:rsidR="00F948BA">
        <w:t>g history of section </w:t>
      </w:r>
      <w:r>
        <w:t>51(ii), the High Court’s past jurisprudence and logic.</w:t>
      </w:r>
    </w:p>
    <w:p w14:paraId="25512D07" w14:textId="31AAF05C" w:rsidR="00CD32A1" w:rsidRPr="004C0F1F" w:rsidRDefault="00CD32A1" w:rsidP="003F2AA9">
      <w:pPr>
        <w:spacing w:line="480" w:lineRule="auto"/>
        <w:ind w:firstLine="720"/>
      </w:pPr>
      <w:r>
        <w:t>During the Convention debates on section 51(ii), Deakin emphasised that the ‘commonwealth consists of the people’ and that ‘the people of the commonwealth … are also the people of the several states’.</w:t>
      </w:r>
      <w:r>
        <w:rPr>
          <w:rStyle w:val="FootnoteReference"/>
        </w:rPr>
        <w:footnoteReference w:id="114"/>
      </w:r>
      <w:r>
        <w:t xml:space="preserve"> Accordingly, reference to states in section 51(ii) </w:t>
      </w:r>
      <w:r w:rsidR="00F948BA">
        <w:t>means</w:t>
      </w:r>
      <w:r>
        <w:t xml:space="preserve"> peoples connected with states. Similarly, Quick and Garran noted that section 51(ii) was verbally amended in the final stages of the Melbourne Convention to remove the reference to discrimination ‘between persons’</w:t>
      </w:r>
      <w:r w:rsidR="00221F9F">
        <w:t xml:space="preserve"> because those words were ‘</w:t>
      </w:r>
      <w:r>
        <w:t>superfluous’.</w:t>
      </w:r>
      <w:r>
        <w:rPr>
          <w:rStyle w:val="FootnoteReference"/>
        </w:rPr>
        <w:footnoteReference w:id="115"/>
      </w:r>
      <w:r>
        <w:t xml:space="preserve"> This implies that the framers of the </w:t>
      </w:r>
      <w:r>
        <w:rPr>
          <w:i/>
        </w:rPr>
        <w:t xml:space="preserve">Constitution </w:t>
      </w:r>
      <w:r>
        <w:t>considered the reference to ‘States or parts of States’ in section 51(ii) as implicitly referring to people connected with the states. Thus, the original intention was for section 51(ii) to protect people, not the states as polities.</w:t>
      </w:r>
    </w:p>
    <w:p w14:paraId="36393EEF" w14:textId="72F28C5E" w:rsidR="00CD32A1" w:rsidRDefault="00CD32A1" w:rsidP="003F2AA9">
      <w:pPr>
        <w:spacing w:line="480" w:lineRule="auto"/>
        <w:ind w:firstLine="720"/>
      </w:pPr>
      <w:r>
        <w:lastRenderedPageBreak/>
        <w:t xml:space="preserve">The same point was made by Deane J in </w:t>
      </w:r>
      <w:r>
        <w:rPr>
          <w:i/>
        </w:rPr>
        <w:t>Leeth v Commonwealth</w:t>
      </w:r>
      <w:r w:rsidR="0091587B">
        <w:t xml:space="preserve">: </w:t>
      </w:r>
      <w:r>
        <w:t>‘[i]t is the people who, in a basic sense, now constitute the individual States’</w:t>
      </w:r>
      <w:r w:rsidR="0091587B">
        <w:t>.</w:t>
      </w:r>
      <w:r>
        <w:rPr>
          <w:rStyle w:val="FootnoteReference"/>
        </w:rPr>
        <w:footnoteReference w:id="116"/>
      </w:r>
      <w:r>
        <w:t xml:space="preserve"> French CJ in </w:t>
      </w:r>
      <w:r>
        <w:rPr>
          <w:i/>
        </w:rPr>
        <w:t>Fortescue</w:t>
      </w:r>
      <w:r>
        <w:t xml:space="preserve"> held that section 51(ii)</w:t>
      </w:r>
      <w:r w:rsidR="00814FBD">
        <w:t xml:space="preserve"> has a federal purpose that includes</w:t>
      </w:r>
      <w:r>
        <w:t xml:space="preserve"> ‘</w:t>
      </w:r>
      <w:r w:rsidRPr="00574AB7">
        <w:t>the formal equality in the Federation of the Stat</w:t>
      </w:r>
      <w:r w:rsidR="00814FBD">
        <w:t>es inter </w:t>
      </w:r>
      <w:r w:rsidRPr="00574AB7">
        <w:t xml:space="preserve">se </w:t>
      </w:r>
      <w:r w:rsidRPr="00574AB7">
        <w:rPr>
          <w:i/>
        </w:rPr>
        <w:t>and their people</w:t>
      </w:r>
      <w:r w:rsidRPr="00574AB7">
        <w:t>.</w:t>
      </w:r>
      <w:r>
        <w:t>’</w:t>
      </w:r>
      <w:r>
        <w:rPr>
          <w:rStyle w:val="FootnoteReference"/>
        </w:rPr>
        <w:footnoteReference w:id="117"/>
      </w:r>
      <w:r>
        <w:t xml:space="preserve"> Evoking Isaacs J’s definition of discrimination, Crennan J was even more unequivocal, finding that section 51(ii) had a ‘federal rationale of </w:t>
      </w:r>
      <w:r w:rsidRPr="009B7BB7">
        <w:rPr>
          <w:i/>
        </w:rPr>
        <w:t>protecting</w:t>
      </w:r>
      <w:r>
        <w:t xml:space="preserve"> </w:t>
      </w:r>
      <w:r w:rsidRPr="009B7BB7">
        <w:rPr>
          <w:i/>
        </w:rPr>
        <w:t>taxpayers</w:t>
      </w:r>
      <w:r>
        <w:t xml:space="preserve"> </w:t>
      </w:r>
      <w:r w:rsidRPr="00143843">
        <w:rPr>
          <w:i/>
        </w:rPr>
        <w:t>in the same circumstances</w:t>
      </w:r>
      <w:r>
        <w:t xml:space="preserve"> in the various States’.</w:t>
      </w:r>
      <w:r>
        <w:rPr>
          <w:rStyle w:val="FootnoteReference"/>
        </w:rPr>
        <w:footnoteReference w:id="118"/>
      </w:r>
      <w:r>
        <w:t xml:space="preserve"> These statements recognise that the beneficiaries of the protection afforded by sec</w:t>
      </w:r>
      <w:r w:rsidR="00084E71">
        <w:t>tion 51(ii) are people</w:t>
      </w:r>
      <w:r>
        <w:t xml:space="preserve"> connected with the states. It follows that the relevant comparator for identifying prohibited discrimination is a hypothetical person in exactly the same circumstances as the complainant</w:t>
      </w:r>
      <w:r w:rsidR="002A74A5">
        <w:t>,</w:t>
      </w:r>
      <w:r>
        <w:t xml:space="preserve"> except that they do not share the </w:t>
      </w:r>
      <w:r w:rsidR="00814FBD">
        <w:t>same</w:t>
      </w:r>
      <w:r>
        <w:t xml:space="preserve"> state connection.</w:t>
      </w:r>
    </w:p>
    <w:p w14:paraId="4D30250D" w14:textId="18263C2E" w:rsidR="00CD32A1" w:rsidRDefault="00CD32A1" w:rsidP="003F2AA9">
      <w:pPr>
        <w:spacing w:line="480" w:lineRule="auto"/>
        <w:ind w:firstLine="720"/>
      </w:pPr>
      <w:r>
        <w:t xml:space="preserve">In the context of income tax, logic also suggests that this conclusion must be </w:t>
      </w:r>
      <w:r w:rsidR="005C6F9D">
        <w:t>correct</w:t>
      </w:r>
      <w:r>
        <w:t>. Commonwealth income tax is not imposed on the states; it is imposed on natural persons and corporate entities.</w:t>
      </w:r>
      <w:r>
        <w:rPr>
          <w:rStyle w:val="FootnoteReference"/>
        </w:rPr>
        <w:footnoteReference w:id="119"/>
      </w:r>
      <w:r>
        <w:t xml:space="preserve"> None of the major cases challenging taxation laws pursuant to sect</w:t>
      </w:r>
      <w:r w:rsidR="00D86988">
        <w:t>ion </w:t>
      </w:r>
      <w:bookmarkStart w:id="27" w:name="_GoBack"/>
      <w:bookmarkEnd w:id="27"/>
      <w:r>
        <w:t>51(ii) have been brought by the states; they have all been brought by individual taxpayers.</w:t>
      </w:r>
      <w:r>
        <w:rPr>
          <w:rStyle w:val="FootnoteReference"/>
        </w:rPr>
        <w:footnoteReference w:id="120"/>
      </w:r>
      <w:r>
        <w:t xml:space="preserve"> Both of these facts support the idea that the protection of section 51(ii) is granted to people and not the states as polities. </w:t>
      </w:r>
      <w:r w:rsidR="002A74A5">
        <w:t>I</w:t>
      </w:r>
      <w:r>
        <w:t xml:space="preserve">t follows that for Commonwealth taxation laws to discriminate between states </w:t>
      </w:r>
      <w:r w:rsidR="002A74A5">
        <w:t>they must discriminate between persons on the basis of their state connection</w:t>
      </w:r>
      <w:r>
        <w:t xml:space="preserve"> and not on the basis of some other circumstance.</w:t>
      </w:r>
    </w:p>
    <w:p w14:paraId="5F462AA4" w14:textId="6398796B" w:rsidR="001B7AA9" w:rsidRDefault="00C368F4" w:rsidP="003F2AA9">
      <w:pPr>
        <w:spacing w:line="480" w:lineRule="auto"/>
      </w:pPr>
      <w:r>
        <w:tab/>
        <w:t xml:space="preserve">For all of these reasons, </w:t>
      </w:r>
      <w:r w:rsidR="0083540D">
        <w:t>the preferable view is that of French CJ:</w:t>
      </w:r>
    </w:p>
    <w:p w14:paraId="5969B766" w14:textId="4AA71655" w:rsidR="0083540D" w:rsidRPr="00BB32F9" w:rsidRDefault="0083540D" w:rsidP="0083540D">
      <w:pPr>
        <w:ind w:left="720"/>
        <w:rPr>
          <w:sz w:val="20"/>
        </w:rPr>
      </w:pPr>
      <w:r w:rsidRPr="00BB32F9">
        <w:rPr>
          <w:sz w:val="20"/>
        </w:rPr>
        <w:t>The limitatio</w:t>
      </w:r>
      <w:r>
        <w:rPr>
          <w:sz w:val="20"/>
        </w:rPr>
        <w:t xml:space="preserve">ns imposed by ss 51(ii) and 99 … </w:t>
      </w:r>
      <w:r w:rsidRPr="00BB32F9">
        <w:rPr>
          <w:sz w:val="20"/>
        </w:rPr>
        <w:t xml:space="preserve">operate at a level of generality appropriate to their federal purposes. </w:t>
      </w:r>
      <w:r>
        <w:rPr>
          <w:sz w:val="20"/>
        </w:rPr>
        <w:t>..</w:t>
      </w:r>
      <w:r w:rsidRPr="00BB32F9">
        <w:rPr>
          <w:sz w:val="20"/>
        </w:rPr>
        <w:t xml:space="preserve">. </w:t>
      </w:r>
      <w:r w:rsidRPr="00E4621C">
        <w:rPr>
          <w:i/>
          <w:sz w:val="20"/>
        </w:rPr>
        <w:t xml:space="preserve">The generality of the non-discrimination and no-preference limitations permits </w:t>
      </w:r>
      <w:r w:rsidRPr="00E4621C">
        <w:rPr>
          <w:i/>
          <w:sz w:val="20"/>
        </w:rPr>
        <w:lastRenderedPageBreak/>
        <w:t xml:space="preserve">differences between States in the application of the law, </w:t>
      </w:r>
      <w:r w:rsidRPr="00E61942">
        <w:rPr>
          <w:b/>
          <w:i/>
          <w:sz w:val="20"/>
        </w:rPr>
        <w:t>for which the law makes provision</w:t>
      </w:r>
      <w:r w:rsidRPr="00E4621C">
        <w:rPr>
          <w:i/>
          <w:sz w:val="20"/>
        </w:rPr>
        <w:t>, if such provision is based upon a distinction which is appropriate and adapted to the attainment of a proper objective</w:t>
      </w:r>
      <w:r w:rsidRPr="00BB32F9">
        <w:rPr>
          <w:sz w:val="20"/>
        </w:rPr>
        <w:t>.</w:t>
      </w:r>
      <w:r>
        <w:rPr>
          <w:rStyle w:val="FootnoteReference"/>
          <w:sz w:val="20"/>
        </w:rPr>
        <w:footnoteReference w:id="121"/>
      </w:r>
      <w:r w:rsidRPr="00BB32F9">
        <w:rPr>
          <w:sz w:val="20"/>
        </w:rPr>
        <w:t xml:space="preserve"> </w:t>
      </w:r>
    </w:p>
    <w:p w14:paraId="495B73FE" w14:textId="77777777" w:rsidR="00C368F4" w:rsidRDefault="00C368F4" w:rsidP="001B7AA9"/>
    <w:p w14:paraId="503211B9" w14:textId="40BCF84B" w:rsidR="00E23353" w:rsidRDefault="005839EA" w:rsidP="003F2AA9">
      <w:pPr>
        <w:spacing w:line="480" w:lineRule="auto"/>
      </w:pPr>
      <w:r>
        <w:t>Far from adopting ‘an innovative route’,</w:t>
      </w:r>
      <w:bookmarkStart w:id="28" w:name="_Ref446266855"/>
      <w:r>
        <w:rPr>
          <w:rStyle w:val="FootnoteReference"/>
        </w:rPr>
        <w:footnoteReference w:id="122"/>
      </w:r>
      <w:bookmarkEnd w:id="28"/>
      <w:r>
        <w:t xml:space="preserve"> French CJ’s </w:t>
      </w:r>
      <w:r w:rsidR="008664C7">
        <w:t>conclusion</w:t>
      </w:r>
      <w:r>
        <w:t xml:space="preserve"> </w:t>
      </w:r>
      <w:r w:rsidR="00767E5E">
        <w:t>that</w:t>
      </w:r>
      <w:r>
        <w:t xml:space="preserve"> the objectives and proportionality of </w:t>
      </w:r>
      <w:r w:rsidR="00767E5E">
        <w:t>taxation laws</w:t>
      </w:r>
      <w:r>
        <w:t xml:space="preserve"> </w:t>
      </w:r>
      <w:r w:rsidR="00767E5E">
        <w:t>are relevant to determining whether the section 51(ii) discrimination prohibition has been breached is</w:t>
      </w:r>
      <w:r>
        <w:t xml:space="preserve"> consistent with the reasoning of the courts in </w:t>
      </w:r>
      <w:r>
        <w:rPr>
          <w:i/>
        </w:rPr>
        <w:t xml:space="preserve">Colonial </w:t>
      </w:r>
      <w:r>
        <w:t xml:space="preserve">and </w:t>
      </w:r>
      <w:r>
        <w:rPr>
          <w:i/>
        </w:rPr>
        <w:t>Moran</w:t>
      </w:r>
      <w:r>
        <w:t>.</w:t>
      </w:r>
    </w:p>
    <w:p w14:paraId="35633503" w14:textId="0E251C57" w:rsidR="00113338" w:rsidRDefault="008A1077" w:rsidP="003F2AA9">
      <w:pPr>
        <w:pStyle w:val="Heading2"/>
        <w:spacing w:line="480" w:lineRule="auto"/>
      </w:pPr>
      <w:bookmarkStart w:id="29" w:name="_Toc449554427"/>
      <w:r>
        <w:rPr>
          <w:i w:val="0"/>
        </w:rPr>
        <w:t>D</w:t>
      </w:r>
      <w:r w:rsidR="00113338">
        <w:rPr>
          <w:i w:val="0"/>
        </w:rPr>
        <w:t xml:space="preserve"> </w:t>
      </w:r>
      <w:r w:rsidR="00113338">
        <w:t>Conclusion</w:t>
      </w:r>
      <w:bookmarkEnd w:id="29"/>
    </w:p>
    <w:p w14:paraId="464100FE" w14:textId="3C17B156" w:rsidR="005F513B" w:rsidRDefault="00A87887" w:rsidP="003F2AA9">
      <w:pPr>
        <w:pStyle w:val="NoSpacing"/>
        <w:spacing w:line="480" w:lineRule="auto"/>
      </w:pPr>
      <w:r>
        <w:tab/>
        <w:t xml:space="preserve">Despite the </w:t>
      </w:r>
      <w:r w:rsidR="00554050">
        <w:t>limitations of</w:t>
      </w:r>
      <w:r>
        <w:t xml:space="preserve"> the existing jurisprudence</w:t>
      </w:r>
      <w:r w:rsidR="00B86958">
        <w:t>,</w:t>
      </w:r>
      <w:r>
        <w:t xml:space="preserve"> a number of guiding principles </w:t>
      </w:r>
      <w:r w:rsidR="00183845">
        <w:t>regarding the proper interpr</w:t>
      </w:r>
      <w:r w:rsidR="00402623">
        <w:t>etation of section 51(ii) are apparent</w:t>
      </w:r>
      <w:r>
        <w:t xml:space="preserve">. </w:t>
      </w:r>
      <w:r w:rsidR="005F513B">
        <w:t xml:space="preserve">Discrimination was defined by Isaacs J in </w:t>
      </w:r>
      <w:r w:rsidR="005F513B">
        <w:rPr>
          <w:i/>
        </w:rPr>
        <w:t>Barger</w:t>
      </w:r>
      <w:r w:rsidR="005F513B">
        <w:t xml:space="preserve">: differential treatment of a person because of their particular state connection regardless of any other circumstance. That definition has been consistently endorsed and applied, expressly or impliedly, in every case since then. The objectives and proportionality of a taxation law will also be relevant in determining whether it is discriminatory according to the reasoning in </w:t>
      </w:r>
      <w:r w:rsidR="005F513B">
        <w:rPr>
          <w:i/>
        </w:rPr>
        <w:t>Colonial</w:t>
      </w:r>
      <w:r w:rsidR="005F513B">
        <w:t xml:space="preserve">, </w:t>
      </w:r>
      <w:r w:rsidR="005F513B">
        <w:rPr>
          <w:i/>
        </w:rPr>
        <w:t>Moran</w:t>
      </w:r>
      <w:r w:rsidR="005F513B">
        <w:t xml:space="preserve"> and </w:t>
      </w:r>
      <w:r w:rsidR="005F513B">
        <w:rPr>
          <w:i/>
        </w:rPr>
        <w:t>Fortescue</w:t>
      </w:r>
      <w:r w:rsidR="005F513B">
        <w:t>.</w:t>
      </w:r>
    </w:p>
    <w:p w14:paraId="0ABC1820" w14:textId="46669C10" w:rsidR="00934333" w:rsidRDefault="00934333" w:rsidP="003F2AA9">
      <w:pPr>
        <w:pStyle w:val="NoSpacing"/>
        <w:spacing w:line="480" w:lineRule="auto"/>
        <w:ind w:firstLine="720"/>
      </w:pPr>
      <w:r>
        <w:t xml:space="preserve">Importantly, discrimination and uniformity are distinct concepts. As the High Court held in </w:t>
      </w:r>
      <w:r>
        <w:rPr>
          <w:i/>
        </w:rPr>
        <w:t>Conroy</w:t>
      </w:r>
      <w:r>
        <w:t xml:space="preserve">, taxation laws need not operate uniformly to satisfy the prohibition on discrimination, although as </w:t>
      </w:r>
      <w:r>
        <w:rPr>
          <w:i/>
        </w:rPr>
        <w:t xml:space="preserve">Barger </w:t>
      </w:r>
      <w:r>
        <w:t xml:space="preserve">and </w:t>
      </w:r>
      <w:r>
        <w:rPr>
          <w:i/>
        </w:rPr>
        <w:t xml:space="preserve">Conroy </w:t>
      </w:r>
      <w:r>
        <w:t xml:space="preserve">show, uniform terms may be insufficient to </w:t>
      </w:r>
      <w:r w:rsidR="002A74A5">
        <w:t>prevent</w:t>
      </w:r>
      <w:r>
        <w:t xml:space="preserve"> discrimination in substance. </w:t>
      </w:r>
      <w:r w:rsidR="00C7625D">
        <w:t>As such,</w:t>
      </w:r>
      <w:r w:rsidR="00471B62">
        <w:t xml:space="preserve"> the prohibition applies to both direct and indirect discrimination. A</w:t>
      </w:r>
      <w:r w:rsidR="004E30DA">
        <w:t>s a</w:t>
      </w:r>
      <w:r w:rsidR="00471B62">
        <w:t xml:space="preserve"> corollary</w:t>
      </w:r>
      <w:r w:rsidR="007310CE">
        <w:t>,</w:t>
      </w:r>
      <w:r w:rsidR="00471B62">
        <w:t xml:space="preserve"> in determining whether </w:t>
      </w:r>
      <w:r w:rsidR="00B97CDC">
        <w:t>sect</w:t>
      </w:r>
      <w:r w:rsidR="00184C72">
        <w:t>ion </w:t>
      </w:r>
      <w:r w:rsidR="00B97CDC">
        <w:t>51(ii) is breached</w:t>
      </w:r>
      <w:r w:rsidR="00471B62">
        <w:t>, the courts adopt a substance over form approach</w:t>
      </w:r>
      <w:r w:rsidR="007310CE">
        <w:t>, as exemplified by t</w:t>
      </w:r>
      <w:r w:rsidR="00471B62">
        <w:t xml:space="preserve">he reasoning in </w:t>
      </w:r>
      <w:r w:rsidR="00471B62">
        <w:rPr>
          <w:i/>
        </w:rPr>
        <w:t>Barger</w:t>
      </w:r>
      <w:r w:rsidR="00471B62">
        <w:t xml:space="preserve">, </w:t>
      </w:r>
      <w:r w:rsidR="00471B62">
        <w:rPr>
          <w:i/>
        </w:rPr>
        <w:t>Moran</w:t>
      </w:r>
      <w:r w:rsidR="00471B62">
        <w:t xml:space="preserve">, </w:t>
      </w:r>
      <w:r w:rsidR="00471B62">
        <w:rPr>
          <w:i/>
        </w:rPr>
        <w:t xml:space="preserve">Conroy </w:t>
      </w:r>
      <w:r w:rsidR="00471B62">
        <w:t xml:space="preserve">and </w:t>
      </w:r>
      <w:r w:rsidR="00471B62">
        <w:rPr>
          <w:i/>
        </w:rPr>
        <w:t>Fortescue</w:t>
      </w:r>
      <w:r w:rsidR="00471B62">
        <w:t xml:space="preserve">. </w:t>
      </w:r>
      <w:r w:rsidR="002C36EB">
        <w:t>It follows that the prohibition applies equally to burdens and benefits.</w:t>
      </w:r>
      <w:r>
        <w:t xml:space="preserve"> </w:t>
      </w:r>
    </w:p>
    <w:p w14:paraId="6684255A" w14:textId="3925C23B" w:rsidR="00EC75AA" w:rsidRDefault="00934333" w:rsidP="003F2AA9">
      <w:pPr>
        <w:pStyle w:val="NoSpacing"/>
        <w:spacing w:line="480" w:lineRule="auto"/>
        <w:ind w:firstLine="720"/>
      </w:pPr>
      <w:r>
        <w:lastRenderedPageBreak/>
        <w:t xml:space="preserve">Finally, </w:t>
      </w:r>
      <w:r w:rsidR="00CA214A">
        <w:rPr>
          <w:i/>
        </w:rPr>
        <w:t xml:space="preserve">Barger </w:t>
      </w:r>
      <w:r w:rsidR="00500C92">
        <w:t>is</w:t>
      </w:r>
      <w:r w:rsidR="00CA214A">
        <w:t xml:space="preserve"> authority for the proposition that the expre</w:t>
      </w:r>
      <w:r w:rsidR="007F17BD">
        <w:t>ssion ‘States or parts of S</w:t>
      </w:r>
      <w:r w:rsidR="00CA214A">
        <w:t xml:space="preserve">tates’ means geographical locations and does not import some special criterion of </w:t>
      </w:r>
      <w:r w:rsidR="00500C92">
        <w:t>‘</w:t>
      </w:r>
      <w:r w:rsidR="00CA214A">
        <w:t>Stateishness</w:t>
      </w:r>
      <w:r w:rsidR="00500C92">
        <w:t>’</w:t>
      </w:r>
      <w:r w:rsidR="00CA214A">
        <w:t xml:space="preserve">. </w:t>
      </w:r>
      <w:r w:rsidR="005F513B">
        <w:t>A</w:t>
      </w:r>
      <w:r w:rsidR="00CA214A">
        <w:t xml:space="preserve">ll of the cases make clear that </w:t>
      </w:r>
      <w:r w:rsidR="005C6F9D">
        <w:t xml:space="preserve">section 51(ii) protects persons connected to states, rather than the states as polities, and that </w:t>
      </w:r>
      <w:r w:rsidR="00CA214A">
        <w:t xml:space="preserve">discrimination is identified by examining the treatment of </w:t>
      </w:r>
      <w:r w:rsidR="00184C72">
        <w:t>persons</w:t>
      </w:r>
      <w:r w:rsidR="00CA214A">
        <w:t xml:space="preserve"> rather than the states. </w:t>
      </w:r>
      <w:r w:rsidR="00F8189A">
        <w:t>Accordingly,</w:t>
      </w:r>
      <w:r w:rsidR="004C7309">
        <w:t xml:space="preserve"> the relevant comparator </w:t>
      </w:r>
      <w:r w:rsidR="00BA6EAD">
        <w:t>f</w:t>
      </w:r>
      <w:r w:rsidR="00C7625D">
        <w:t>or identifying section </w:t>
      </w:r>
      <w:r w:rsidR="004C7309">
        <w:t xml:space="preserve">51(ii) discrimination is a </w:t>
      </w:r>
      <w:r w:rsidR="00C7625D">
        <w:t>person</w:t>
      </w:r>
      <w:r w:rsidR="00BA6EAD">
        <w:t>.</w:t>
      </w:r>
    </w:p>
    <w:p w14:paraId="5A4AE918" w14:textId="047600DF" w:rsidR="00AE4F32" w:rsidRDefault="00AE4F32" w:rsidP="003F2AA9">
      <w:pPr>
        <w:pStyle w:val="Heading1"/>
        <w:spacing w:line="480" w:lineRule="auto"/>
      </w:pPr>
      <w:bookmarkStart w:id="30" w:name="_Toc449554428"/>
      <w:r>
        <w:t>V</w:t>
      </w:r>
      <w:r w:rsidR="00413FE5">
        <w:t>I</w:t>
      </w:r>
      <w:r>
        <w:t xml:space="preserve"> </w:t>
      </w:r>
      <w:r w:rsidR="008B70F9">
        <w:t>Comparative Jurisprudence</w:t>
      </w:r>
      <w:bookmarkEnd w:id="30"/>
    </w:p>
    <w:p w14:paraId="7511D929" w14:textId="43987BE0" w:rsidR="00EA78C6" w:rsidRDefault="00EA78C6" w:rsidP="003F2AA9">
      <w:pPr>
        <w:pStyle w:val="Heading2"/>
        <w:spacing w:line="480" w:lineRule="auto"/>
      </w:pPr>
      <w:bookmarkStart w:id="31" w:name="_Toc449554429"/>
      <w:proofErr w:type="gramStart"/>
      <w:r>
        <w:rPr>
          <w:i w:val="0"/>
        </w:rPr>
        <w:t>A</w:t>
      </w:r>
      <w:proofErr w:type="gramEnd"/>
      <w:r>
        <w:rPr>
          <w:i w:val="0"/>
        </w:rPr>
        <w:t xml:space="preserve"> </w:t>
      </w:r>
      <w:r>
        <w:t>Introduction</w:t>
      </w:r>
      <w:bookmarkEnd w:id="31"/>
    </w:p>
    <w:p w14:paraId="038DE210" w14:textId="740A4B94" w:rsidR="005E6F10" w:rsidRDefault="00B309DE" w:rsidP="003F2AA9">
      <w:pPr>
        <w:spacing w:line="480" w:lineRule="auto"/>
      </w:pPr>
      <w:r>
        <w:tab/>
      </w:r>
      <w:r w:rsidR="00BA6EAD">
        <w:t>In t</w:t>
      </w:r>
      <w:r w:rsidR="005E6F10">
        <w:t xml:space="preserve">his </w:t>
      </w:r>
      <w:r w:rsidR="00903087">
        <w:t>P</w:t>
      </w:r>
      <w:r w:rsidR="00415BAC">
        <w:t>art</w:t>
      </w:r>
      <w:r w:rsidR="00BA6EAD">
        <w:t xml:space="preserve"> I</w:t>
      </w:r>
      <w:r w:rsidR="005E6F10">
        <w:t xml:space="preserve"> will argue that the relevant comparative jurisprudence of other countries supports </w:t>
      </w:r>
      <w:r w:rsidR="00373C9A">
        <w:t>the relevance of objectives and proportionality to the section 51(ii) discrimination analysis</w:t>
      </w:r>
      <w:r w:rsidR="005E6F10">
        <w:t xml:space="preserve">. </w:t>
      </w:r>
      <w:r w:rsidR="00BA6EAD">
        <w:t xml:space="preserve">Firstly, </w:t>
      </w:r>
      <w:r w:rsidR="00B7368B">
        <w:t>I will show that Australia’s constitutional structure is not analogous to those</w:t>
      </w:r>
      <w:r w:rsidR="005E6F10">
        <w:t xml:space="preserve"> of </w:t>
      </w:r>
      <w:r w:rsidR="00323708">
        <w:t>the United Kingdom</w:t>
      </w:r>
      <w:r w:rsidR="0016131A">
        <w:t xml:space="preserve"> (UK)</w:t>
      </w:r>
      <w:r w:rsidR="00323708">
        <w:t xml:space="preserve">, </w:t>
      </w:r>
      <w:r w:rsidR="005E6F10">
        <w:t xml:space="preserve">New Zealand, Canada and the European Union </w:t>
      </w:r>
      <w:r w:rsidR="00E3070E">
        <w:t xml:space="preserve">(EU) </w:t>
      </w:r>
      <w:r w:rsidR="00B7368B">
        <w:t>so the discrimination jurisprudence of those jurisdictions</w:t>
      </w:r>
      <w:r w:rsidR="005E6F10">
        <w:t xml:space="preserve"> is </w:t>
      </w:r>
      <w:r w:rsidR="00B24E39">
        <w:t>irrelevant</w:t>
      </w:r>
      <w:r w:rsidR="005E6F10">
        <w:t xml:space="preserve">. In contrast, the </w:t>
      </w:r>
      <w:r w:rsidR="009179C5">
        <w:t xml:space="preserve">constitutional structure of the </w:t>
      </w:r>
      <w:r w:rsidR="005E6F10">
        <w:t>United States of America</w:t>
      </w:r>
      <w:r w:rsidR="009179C5">
        <w:t xml:space="preserve"> (US) and the drafting history of the section 51(ii) </w:t>
      </w:r>
      <w:r w:rsidR="00323708">
        <w:t xml:space="preserve">discrimination </w:t>
      </w:r>
      <w:r w:rsidR="00B7368B">
        <w:t>prohibition show</w:t>
      </w:r>
      <w:r w:rsidR="009179C5">
        <w:t xml:space="preserve"> that decisions of the US Supreme Court are relevant to understanding section 51(ii). Secondly, </w:t>
      </w:r>
      <w:r w:rsidR="00B7368B">
        <w:t>I will show</w:t>
      </w:r>
      <w:r w:rsidR="00BA6EAD">
        <w:t xml:space="preserve"> that </w:t>
      </w:r>
      <w:r w:rsidR="009179C5">
        <w:t xml:space="preserve">the jurisprudence of the US Supreme Court still </w:t>
      </w:r>
      <w:r w:rsidR="00373C9A">
        <w:t>permits</w:t>
      </w:r>
      <w:r w:rsidR="009179C5">
        <w:t xml:space="preserve"> </w:t>
      </w:r>
      <w:r w:rsidR="00B7368B">
        <w:t xml:space="preserve">proportionate </w:t>
      </w:r>
      <w:r w:rsidR="000847C5">
        <w:t xml:space="preserve">differential treatment on a geographical basis if justified by a </w:t>
      </w:r>
      <w:r w:rsidR="00446810">
        <w:t>proper</w:t>
      </w:r>
      <w:r w:rsidR="00BA6EAD">
        <w:t xml:space="preserve"> objective</w:t>
      </w:r>
      <w:r w:rsidR="000847C5">
        <w:t>.</w:t>
      </w:r>
    </w:p>
    <w:p w14:paraId="48CBC81E" w14:textId="1108D1F6" w:rsidR="00EA78C6" w:rsidRDefault="00EA78C6" w:rsidP="003F2AA9">
      <w:pPr>
        <w:pStyle w:val="Heading2"/>
        <w:spacing w:line="480" w:lineRule="auto"/>
      </w:pPr>
      <w:bookmarkStart w:id="32" w:name="_Toc449554430"/>
      <w:r w:rsidRPr="00EA78C6">
        <w:rPr>
          <w:i w:val="0"/>
        </w:rPr>
        <w:t xml:space="preserve">B </w:t>
      </w:r>
      <w:r>
        <w:t>Relevant Jurisdictions</w:t>
      </w:r>
      <w:bookmarkEnd w:id="32"/>
    </w:p>
    <w:p w14:paraId="1488B750" w14:textId="78991F6E" w:rsidR="00F10CD9" w:rsidRDefault="00323708" w:rsidP="003F2AA9">
      <w:pPr>
        <w:spacing w:line="480" w:lineRule="auto"/>
      </w:pPr>
      <w:r>
        <w:tab/>
      </w:r>
      <w:r w:rsidR="00F10CD9">
        <w:t xml:space="preserve">Australia is a common law country with a written, entrenched constitution that establishes a </w:t>
      </w:r>
      <w:r w:rsidR="001F0B5D">
        <w:t>federation</w:t>
      </w:r>
      <w:r w:rsidR="00F10CD9">
        <w:t xml:space="preserve">. </w:t>
      </w:r>
      <w:r w:rsidR="00B7368B">
        <w:t>That constitutional context combined with the wording of section </w:t>
      </w:r>
      <w:r w:rsidR="00F10CD9">
        <w:t>51(ii) necessarily restrict</w:t>
      </w:r>
      <w:r w:rsidR="00B7368B">
        <w:t>s</w:t>
      </w:r>
      <w:r w:rsidR="00F10CD9">
        <w:t xml:space="preserve"> the subset of </w:t>
      </w:r>
      <w:r w:rsidR="00B7368B">
        <w:t>relevantly comparable foreign</w:t>
      </w:r>
      <w:r w:rsidR="00F10CD9">
        <w:t xml:space="preserve"> jurisprudence. </w:t>
      </w:r>
      <w:r w:rsidR="00357C4A">
        <w:t>Despite the common law tradition of</w:t>
      </w:r>
      <w:r w:rsidR="00F10CD9">
        <w:t xml:space="preserve"> the </w:t>
      </w:r>
      <w:r w:rsidR="0016131A">
        <w:t>UK</w:t>
      </w:r>
      <w:r w:rsidR="00F10CD9">
        <w:t xml:space="preserve"> and New Zealand, </w:t>
      </w:r>
      <w:r w:rsidR="00EA78C6">
        <w:t>both are unitary states</w:t>
      </w:r>
      <w:r w:rsidR="00F10CD9">
        <w:t xml:space="preserve"> </w:t>
      </w:r>
      <w:r w:rsidR="00B7368B">
        <w:t>without</w:t>
      </w:r>
      <w:r w:rsidR="00F10CD9">
        <w:t xml:space="preserve"> a written, entrenched constitution. </w:t>
      </w:r>
      <w:r w:rsidR="00EA78C6">
        <w:t>P</w:t>
      </w:r>
      <w:r w:rsidR="00F10CD9">
        <w:t>arliamentary supremacy means that the Parliament</w:t>
      </w:r>
      <w:r w:rsidR="00B7368B">
        <w:t>s</w:t>
      </w:r>
      <w:r w:rsidR="00F10CD9">
        <w:t xml:space="preserve"> </w:t>
      </w:r>
      <w:r w:rsidR="00357C4A">
        <w:t xml:space="preserve">of both countries </w:t>
      </w:r>
      <w:r w:rsidR="00B7368B">
        <w:t>are</w:t>
      </w:r>
      <w:r w:rsidR="00EA78C6">
        <w:t xml:space="preserve"> free to enact taxation laws that discriminate between </w:t>
      </w:r>
      <w:r w:rsidR="00EA78C6">
        <w:lastRenderedPageBreak/>
        <w:t xml:space="preserve">different </w:t>
      </w:r>
      <w:r w:rsidR="00B7368B">
        <w:t>locations</w:t>
      </w:r>
      <w:r w:rsidR="00EA78C6">
        <w:t xml:space="preserve">. There is simply no equivalent concept of </w:t>
      </w:r>
      <w:r w:rsidR="005C6F9D">
        <w:t xml:space="preserve">internal </w:t>
      </w:r>
      <w:r w:rsidR="00EA78C6">
        <w:t xml:space="preserve">taxation discrimination in their constitutions or the jurisprudence of their courts. Consequently, </w:t>
      </w:r>
      <w:r w:rsidR="00B7368B">
        <w:t>the jurisprudence of these jurisdictions cannot assist in interpreting section 51(ii)</w:t>
      </w:r>
      <w:r w:rsidR="00357C4A">
        <w:t>.</w:t>
      </w:r>
    </w:p>
    <w:p w14:paraId="7F6F24A9" w14:textId="3ED7748B" w:rsidR="00CB59F1" w:rsidRPr="00B43E33" w:rsidRDefault="00EA78C6" w:rsidP="003F2AA9">
      <w:pPr>
        <w:spacing w:line="480" w:lineRule="auto"/>
      </w:pPr>
      <w:r>
        <w:tab/>
      </w:r>
      <w:r w:rsidR="00D45122">
        <w:t xml:space="preserve">Nor is the jurisprudence of </w:t>
      </w:r>
      <w:r w:rsidR="000F54C9">
        <w:t>the EU or Canadian courts</w:t>
      </w:r>
      <w:r w:rsidR="00D64204">
        <w:t xml:space="preserve"> </w:t>
      </w:r>
      <w:r w:rsidR="00D45122">
        <w:t xml:space="preserve">relevantly comparable. </w:t>
      </w:r>
      <w:r w:rsidR="0030604D">
        <w:t xml:space="preserve">The </w:t>
      </w:r>
      <w:r w:rsidR="000F54C9">
        <w:t>EU</w:t>
      </w:r>
      <w:r w:rsidR="0030604D">
        <w:t xml:space="preserve"> is a federation of </w:t>
      </w:r>
      <w:r w:rsidR="002E5511">
        <w:t xml:space="preserve">28 </w:t>
      </w:r>
      <w:r w:rsidR="0030604D">
        <w:t>member states.</w:t>
      </w:r>
      <w:r w:rsidR="004906CF">
        <w:rPr>
          <w:rStyle w:val="FootnoteReference"/>
        </w:rPr>
        <w:footnoteReference w:id="123"/>
      </w:r>
      <w:r w:rsidR="0030604D">
        <w:t xml:space="preserve"> </w:t>
      </w:r>
      <w:r w:rsidR="000B55DE">
        <w:t>Whereas n</w:t>
      </w:r>
      <w:r w:rsidR="00541147">
        <w:t>o provision o</w:t>
      </w:r>
      <w:r w:rsidR="000F54C9">
        <w:t xml:space="preserve">f the EU’s </w:t>
      </w:r>
      <w:r w:rsidR="00464B07">
        <w:t>constitutive</w:t>
      </w:r>
      <w:r w:rsidR="000F54C9">
        <w:t xml:space="preserve"> treaties invests any one of its supranational institutions with a power to impose taxes across the Union,</w:t>
      </w:r>
      <w:r w:rsidR="00D65000">
        <w:rPr>
          <w:rStyle w:val="FootnoteReference"/>
        </w:rPr>
        <w:footnoteReference w:id="124"/>
      </w:r>
      <w:r w:rsidR="000F54C9">
        <w:t xml:space="preserve"> there are provisions of the treaties that </w:t>
      </w:r>
      <w:r w:rsidR="00943094">
        <w:t xml:space="preserve">could </w:t>
      </w:r>
      <w:r w:rsidR="000F54C9">
        <w:t xml:space="preserve">limit the ability of </w:t>
      </w:r>
      <w:r w:rsidR="00415BAC">
        <w:t>its</w:t>
      </w:r>
      <w:r w:rsidR="000F54C9">
        <w:t xml:space="preserve"> member states to impose taxes that discriminate on a geographical basis, namely, the fundamental freedoms and the state aid rules.</w:t>
      </w:r>
      <w:r w:rsidR="000F54C9">
        <w:rPr>
          <w:rStyle w:val="FootnoteReference"/>
        </w:rPr>
        <w:footnoteReference w:id="125"/>
      </w:r>
      <w:r w:rsidR="00CB59F1">
        <w:t xml:space="preserve"> Nevertheless, none of these restrictions are truly equivalent to the discrimination prohibition in section 51(ii). Importantly, they are not restrictions on the taxing powers of a </w:t>
      </w:r>
      <w:r w:rsidR="00CB59F1" w:rsidRPr="00CB59F1">
        <w:rPr>
          <w:i/>
        </w:rPr>
        <w:t>federal</w:t>
      </w:r>
      <w:r w:rsidR="00CB59F1">
        <w:t xml:space="preserve"> Parliament; rather, they are restrictions on the taxing powers of the constituent member states. </w:t>
      </w:r>
      <w:r w:rsidR="000537B6">
        <w:t>Section 51(ii)</w:t>
      </w:r>
      <w:r w:rsidR="00CB59F1">
        <w:rPr>
          <w:i/>
        </w:rPr>
        <w:t xml:space="preserve"> </w:t>
      </w:r>
      <w:r w:rsidR="00CB59F1">
        <w:t xml:space="preserve">only </w:t>
      </w:r>
      <w:r w:rsidR="000537B6">
        <w:t>restricts</w:t>
      </w:r>
      <w:r w:rsidR="00CB59F1">
        <w:t xml:space="preserve"> the Commonwealth Parlia</w:t>
      </w:r>
      <w:r w:rsidR="000537B6">
        <w:t>ment, not the state Parliaments</w:t>
      </w:r>
      <w:r w:rsidR="00CB59F1">
        <w:t>.</w:t>
      </w:r>
      <w:r w:rsidR="00B43E33">
        <w:t xml:space="preserve"> As Latham CJ noted in </w:t>
      </w:r>
      <w:r w:rsidR="00B43E33">
        <w:rPr>
          <w:i/>
        </w:rPr>
        <w:t>Moran</w:t>
      </w:r>
      <w:r w:rsidR="00B43E33">
        <w:t>, the validity of states granting state aid in the form of reduced taxes ‘would not be open to doubt.’</w:t>
      </w:r>
      <w:r w:rsidR="00B43E33">
        <w:rPr>
          <w:rStyle w:val="FootnoteReference"/>
        </w:rPr>
        <w:footnoteReference w:id="126"/>
      </w:r>
    </w:p>
    <w:p w14:paraId="4406C3B7" w14:textId="691D88BE" w:rsidR="00E27DA2" w:rsidRDefault="00CB59F1" w:rsidP="003F2AA9">
      <w:pPr>
        <w:spacing w:line="480" w:lineRule="auto"/>
        <w:ind w:firstLine="720"/>
      </w:pPr>
      <w:r>
        <w:t xml:space="preserve">Even if that is ignored, the provisions </w:t>
      </w:r>
      <w:r w:rsidR="000537B6">
        <w:t xml:space="preserve">of the EU’s </w:t>
      </w:r>
      <w:r w:rsidR="00464B07">
        <w:t>constitutive</w:t>
      </w:r>
      <w:r w:rsidR="000537B6">
        <w:t xml:space="preserve"> treaties </w:t>
      </w:r>
      <w:r>
        <w:t>differ markedly from section 51(ii</w:t>
      </w:r>
      <w:r w:rsidR="00E27DA2">
        <w:t>)</w:t>
      </w:r>
      <w:r>
        <w:t xml:space="preserve">. </w:t>
      </w:r>
      <w:r w:rsidR="00A536AD">
        <w:t>The state aid rules and m</w:t>
      </w:r>
      <w:r>
        <w:t xml:space="preserve">any of the fundamental freedoms do not </w:t>
      </w:r>
      <w:r w:rsidR="008D2126">
        <w:t xml:space="preserve">even </w:t>
      </w:r>
      <w:r w:rsidR="00CE6FAE">
        <w:t xml:space="preserve">use the </w:t>
      </w:r>
      <w:r w:rsidR="005C6F9D">
        <w:t xml:space="preserve">word or </w:t>
      </w:r>
      <w:r w:rsidR="000537B6">
        <w:t>concept of</w:t>
      </w:r>
      <w:r>
        <w:t xml:space="preserve"> </w:t>
      </w:r>
      <w:r w:rsidR="00CE6FAE">
        <w:t>‘</w:t>
      </w:r>
      <w:r>
        <w:t>discrimination</w:t>
      </w:r>
      <w:r w:rsidR="00CE6FAE">
        <w:t>’</w:t>
      </w:r>
      <w:r w:rsidR="008D2126">
        <w:t>.</w:t>
      </w:r>
      <w:r w:rsidR="008D2126">
        <w:rPr>
          <w:rStyle w:val="FootnoteReference"/>
        </w:rPr>
        <w:footnoteReference w:id="127"/>
      </w:r>
      <w:r w:rsidR="008D2126">
        <w:t xml:space="preserve"> </w:t>
      </w:r>
      <w:r w:rsidR="000537B6">
        <w:t>Moreover</w:t>
      </w:r>
      <w:r w:rsidR="008D2126">
        <w:t>, the freedoms</w:t>
      </w:r>
      <w:r>
        <w:t xml:space="preserve"> </w:t>
      </w:r>
      <w:r w:rsidR="00702DC7">
        <w:t>are expressly made</w:t>
      </w:r>
      <w:r w:rsidR="008D2126">
        <w:t xml:space="preserve"> </w:t>
      </w:r>
      <w:r>
        <w:t>subject to limitations justified on the basis of public policy, public security</w:t>
      </w:r>
      <w:r w:rsidR="008D2126">
        <w:t xml:space="preserve">, public health, the objectives of the EU (provided they are compatible with the internal market) or </w:t>
      </w:r>
      <w:r w:rsidR="00451FAF">
        <w:t>taxpayer</w:t>
      </w:r>
      <w:r w:rsidR="008D2126">
        <w:t xml:space="preserve"> residence.</w:t>
      </w:r>
      <w:r w:rsidR="008D2126">
        <w:rPr>
          <w:rStyle w:val="FootnoteReference"/>
        </w:rPr>
        <w:footnoteReference w:id="128"/>
      </w:r>
      <w:r w:rsidR="00CE6FAE">
        <w:t xml:space="preserve"> Similarly, the state aid rules expressly permit aid to promote the economic </w:t>
      </w:r>
      <w:r w:rsidR="00CE6FAE">
        <w:lastRenderedPageBreak/>
        <w:t xml:space="preserve">development of areas </w:t>
      </w:r>
      <w:r w:rsidR="00A536AD">
        <w:t>with abnormally low</w:t>
      </w:r>
      <w:r w:rsidR="00CE6FAE">
        <w:t xml:space="preserve"> standard</w:t>
      </w:r>
      <w:r w:rsidR="00A536AD">
        <w:t>s</w:t>
      </w:r>
      <w:r w:rsidR="00CE6FAE">
        <w:t xml:space="preserve"> of living </w:t>
      </w:r>
      <w:r w:rsidR="00A536AD">
        <w:t>or</w:t>
      </w:r>
      <w:r w:rsidR="003B7B42">
        <w:t xml:space="preserve"> serious underemployment and specified external territories</w:t>
      </w:r>
      <w:r w:rsidR="00CE6FAE">
        <w:t>.</w:t>
      </w:r>
      <w:r w:rsidR="00CE6FAE">
        <w:rPr>
          <w:rStyle w:val="FootnoteReference"/>
        </w:rPr>
        <w:footnoteReference w:id="129"/>
      </w:r>
      <w:r w:rsidR="001A3397">
        <w:t xml:space="preserve"> T</w:t>
      </w:r>
      <w:r w:rsidR="007652A7">
        <w:t xml:space="preserve">hese </w:t>
      </w:r>
      <w:r w:rsidR="00702DC7">
        <w:t>exceptions mandate</w:t>
      </w:r>
      <w:r w:rsidR="00E27DA2">
        <w:t xml:space="preserve"> the Court of Justice </w:t>
      </w:r>
      <w:r w:rsidR="007E38F9">
        <w:t xml:space="preserve">of the EU (CJEU) </w:t>
      </w:r>
      <w:r w:rsidR="00E27DA2">
        <w:t xml:space="preserve">to </w:t>
      </w:r>
      <w:r w:rsidR="00702DC7">
        <w:t xml:space="preserve">consider the </w:t>
      </w:r>
      <w:r w:rsidR="00820ED9">
        <w:t>objectives</w:t>
      </w:r>
      <w:r w:rsidR="00702DC7">
        <w:t xml:space="preserve"> and proportionality of any limitation on freedom or state aid</w:t>
      </w:r>
      <w:r w:rsidR="00D65000">
        <w:t>. N</w:t>
      </w:r>
      <w:r w:rsidR="00E27DA2">
        <w:t xml:space="preserve">o such interpretative approach is mandated </w:t>
      </w:r>
      <w:r w:rsidR="003B7B42">
        <w:t>by section </w:t>
      </w:r>
      <w:r w:rsidR="00E27DA2">
        <w:t>51(ii</w:t>
      </w:r>
      <w:r w:rsidR="000537B6">
        <w:t>)</w:t>
      </w:r>
      <w:r w:rsidR="00D65000">
        <w:t xml:space="preserve">. </w:t>
      </w:r>
    </w:p>
    <w:p w14:paraId="6B915ECE" w14:textId="51C268FC" w:rsidR="00477807" w:rsidRPr="003C39D1" w:rsidRDefault="003B7B42" w:rsidP="003F2AA9">
      <w:pPr>
        <w:spacing w:line="480" w:lineRule="auto"/>
        <w:ind w:firstLine="720"/>
      </w:pPr>
      <w:r>
        <w:t>Turning to</w:t>
      </w:r>
      <w:r w:rsidR="00D45122">
        <w:t xml:space="preserve"> Canada</w:t>
      </w:r>
      <w:r w:rsidR="00E84B8B">
        <w:t>,</w:t>
      </w:r>
      <w:r w:rsidR="00D45122">
        <w:t xml:space="preserve"> </w:t>
      </w:r>
      <w:r w:rsidR="00053863">
        <w:t>there is also no constitutional</w:t>
      </w:r>
      <w:r w:rsidR="00D45122">
        <w:t xml:space="preserve"> provision equivalent to the </w:t>
      </w:r>
      <w:r w:rsidR="00E84B8B">
        <w:t xml:space="preserve">section 51(ii) </w:t>
      </w:r>
      <w:r w:rsidR="00D45122">
        <w:t>discrimination prohibition.</w:t>
      </w:r>
      <w:r w:rsidR="00D45122">
        <w:rPr>
          <w:rStyle w:val="FootnoteReference"/>
        </w:rPr>
        <w:footnoteReference w:id="130"/>
      </w:r>
      <w:r w:rsidR="00D45122">
        <w:t xml:space="preserve"> Indeed, the division of </w:t>
      </w:r>
      <w:r w:rsidR="00702DC7">
        <w:t xml:space="preserve">mutually </w:t>
      </w:r>
      <w:r w:rsidR="00D45122">
        <w:t xml:space="preserve">exclusive </w:t>
      </w:r>
      <w:r w:rsidR="003C39D1">
        <w:t>taxation</w:t>
      </w:r>
      <w:r w:rsidR="00D45122">
        <w:t xml:space="preserve"> powers between the federal Parliament and the provincial Legislatur</w:t>
      </w:r>
      <w:r w:rsidR="003C39D1">
        <w:t xml:space="preserve">es in the </w:t>
      </w:r>
      <w:r w:rsidR="00562077">
        <w:rPr>
          <w:i/>
        </w:rPr>
        <w:t>Constitution Act </w:t>
      </w:r>
      <w:r w:rsidR="003C39D1">
        <w:rPr>
          <w:i/>
        </w:rPr>
        <w:t xml:space="preserve">1867 </w:t>
      </w:r>
      <w:r w:rsidR="003C39D1">
        <w:t xml:space="preserve">is fundamentally different to the </w:t>
      </w:r>
      <w:r w:rsidR="00B24E39">
        <w:t>concurrent</w:t>
      </w:r>
      <w:r w:rsidR="003C39D1">
        <w:t xml:space="preserve"> taxation powers of the Commonwealth Parliament and state Parliaments </w:t>
      </w:r>
      <w:r w:rsidR="00E84B8B">
        <w:t>in</w:t>
      </w:r>
      <w:r w:rsidR="003C39D1">
        <w:t xml:space="preserve"> the </w:t>
      </w:r>
      <w:r w:rsidR="003C39D1" w:rsidRPr="00E84B8B">
        <w:rPr>
          <w:i/>
        </w:rPr>
        <w:t>Australian</w:t>
      </w:r>
      <w:r w:rsidR="003C39D1">
        <w:t xml:space="preserve"> </w:t>
      </w:r>
      <w:r w:rsidR="003C39D1">
        <w:rPr>
          <w:i/>
        </w:rPr>
        <w:t>Constitution</w:t>
      </w:r>
      <w:r w:rsidR="003C39D1">
        <w:t xml:space="preserve">. For this reason, Quick and Garran noted at Federation that Canadian jurisprudence is less applicable </w:t>
      </w:r>
      <w:r w:rsidR="00477BD6">
        <w:t>and less valuable as an aid to interpretation of section 51(ii) than US Supreme Court jurisprudence.</w:t>
      </w:r>
      <w:r w:rsidR="00477BD6">
        <w:rPr>
          <w:rStyle w:val="FootnoteReference"/>
        </w:rPr>
        <w:footnoteReference w:id="131"/>
      </w:r>
      <w:r w:rsidR="00477807">
        <w:t xml:space="preserve"> Consequently, the jurisprudence of the </w:t>
      </w:r>
      <w:r w:rsidR="007E38F9">
        <w:t>CJ</w:t>
      </w:r>
      <w:r w:rsidR="00702DC7">
        <w:t xml:space="preserve">EU </w:t>
      </w:r>
      <w:r w:rsidR="00477807">
        <w:t xml:space="preserve">and the Supreme Court </w:t>
      </w:r>
      <w:r>
        <w:t xml:space="preserve">of Canada </w:t>
      </w:r>
      <w:r w:rsidR="00702DC7">
        <w:t>are</w:t>
      </w:r>
      <w:r w:rsidR="00477807">
        <w:t xml:space="preserve"> not relevant to the interpretation of </w:t>
      </w:r>
      <w:r w:rsidR="00B43E33">
        <w:t>section </w:t>
      </w:r>
      <w:r w:rsidR="00477807">
        <w:t>51(ii).</w:t>
      </w:r>
    </w:p>
    <w:p w14:paraId="62AB10A7" w14:textId="449243EE" w:rsidR="00F10CD9" w:rsidRDefault="00053863" w:rsidP="003F2AA9">
      <w:pPr>
        <w:spacing w:line="480" w:lineRule="auto"/>
      </w:pPr>
      <w:r>
        <w:tab/>
      </w:r>
      <w:r w:rsidR="00562077">
        <w:t xml:space="preserve">In contrast, the US is a common law, federal state with a written, entrenched constitution, which contains a similar prohibition </w:t>
      </w:r>
      <w:r w:rsidR="00B24E39">
        <w:t>to</w:t>
      </w:r>
      <w:r w:rsidR="00562077">
        <w:t xml:space="preserve"> </w:t>
      </w:r>
      <w:r w:rsidR="008A4965">
        <w:t>section 51(ii): a</w:t>
      </w:r>
      <w:r w:rsidR="005E4CE6">
        <w:t>rticle 1 </w:t>
      </w:r>
      <w:r w:rsidR="005E4CE6" w:rsidRPr="00B53DB6">
        <w:t>§</w:t>
      </w:r>
      <w:r w:rsidR="005E4CE6">
        <w:t xml:space="preserve"> </w:t>
      </w:r>
      <w:r w:rsidR="00562077">
        <w:t xml:space="preserve">8(1) of the </w:t>
      </w:r>
      <w:r w:rsidR="004E44F7">
        <w:rPr>
          <w:i/>
        </w:rPr>
        <w:t>United States Constitution</w:t>
      </w:r>
      <w:r w:rsidR="00562077">
        <w:t xml:space="preserve"> relevantly provides that the </w:t>
      </w:r>
      <w:r w:rsidR="004E44F7">
        <w:t>US</w:t>
      </w:r>
      <w:r w:rsidR="00562077">
        <w:t xml:space="preserve"> Congress ‘shall have power to lay a</w:t>
      </w:r>
      <w:r w:rsidR="00E174E0">
        <w:t>nd collect taxes, duties, impost</w:t>
      </w:r>
      <w:r w:rsidR="00562077">
        <w:t xml:space="preserve">s and excises … but all duties, imposts, and excises shall be uniform throughout the United States.’ Both sections confer legislative power </w:t>
      </w:r>
      <w:r w:rsidR="009A0BE5">
        <w:t>to tax</w:t>
      </w:r>
      <w:r w:rsidR="00562077">
        <w:t>, but restrict that power</w:t>
      </w:r>
      <w:r w:rsidR="003F02AC">
        <w:t>. This similarity is no coincidence: the A</w:t>
      </w:r>
      <w:r w:rsidR="00543815">
        <w:t>ustralian provision was modelled upon its US counterpart and the last minute change</w:t>
      </w:r>
      <w:r w:rsidR="00451FAF">
        <w:t xml:space="preserve"> in the drafting of the Australian provision</w:t>
      </w:r>
      <w:r w:rsidR="00543815">
        <w:t xml:space="preserve"> </w:t>
      </w:r>
      <w:r w:rsidR="00451FAF">
        <w:t>(</w:t>
      </w:r>
      <w:r w:rsidR="00543815">
        <w:t>from uniformity to discrimination</w:t>
      </w:r>
      <w:r w:rsidR="00451FAF">
        <w:t>)</w:t>
      </w:r>
      <w:r w:rsidR="00543815">
        <w:t xml:space="preserve"> was prompted by a decision of the US Supreme Court.</w:t>
      </w:r>
      <w:r w:rsidR="00983F56">
        <w:rPr>
          <w:rStyle w:val="FootnoteReference"/>
        </w:rPr>
        <w:footnoteReference w:id="132"/>
      </w:r>
      <w:r w:rsidR="00A536AD">
        <w:t xml:space="preserve"> </w:t>
      </w:r>
      <w:r w:rsidR="00A536AD">
        <w:lastRenderedPageBreak/>
        <w:t>Indeed, Quick and Garran considered the two provisions to be ‘practically the same in substance’.</w:t>
      </w:r>
      <w:r w:rsidR="00A536AD">
        <w:rPr>
          <w:rStyle w:val="FootnoteReference"/>
        </w:rPr>
        <w:footnoteReference w:id="133"/>
      </w:r>
    </w:p>
    <w:p w14:paraId="195632A5" w14:textId="0F625586" w:rsidR="001A2C53" w:rsidRDefault="00440E62" w:rsidP="003F2AA9">
      <w:pPr>
        <w:spacing w:line="480" w:lineRule="auto"/>
      </w:pPr>
      <w:r>
        <w:tab/>
        <w:t>Despite this, the willingness of the High Court to refer to US Supreme Court decisions has ‘varied considerably’.</w:t>
      </w:r>
      <w:bookmarkStart w:id="33" w:name="_Ref444372932"/>
      <w:r>
        <w:rPr>
          <w:rStyle w:val="FootnoteReference"/>
        </w:rPr>
        <w:footnoteReference w:id="134"/>
      </w:r>
      <w:bookmarkEnd w:id="33"/>
      <w:r w:rsidR="00FD00F9">
        <w:t xml:space="preserve"> </w:t>
      </w:r>
      <w:r w:rsidR="004B0FD0">
        <w:t>While not expressly eschewing reference to US Supreme Court jurisprudence</w:t>
      </w:r>
      <w:r w:rsidR="004E44F7">
        <w:t xml:space="preserve">, </w:t>
      </w:r>
      <w:r w:rsidR="004B0FD0">
        <w:t xml:space="preserve">the plurality in </w:t>
      </w:r>
      <w:r w:rsidR="004B0FD0">
        <w:rPr>
          <w:i/>
        </w:rPr>
        <w:t>Fortescue</w:t>
      </w:r>
      <w:r w:rsidR="004E44F7">
        <w:t xml:space="preserve"> did </w:t>
      </w:r>
      <w:r w:rsidR="00377639">
        <w:t>adopt</w:t>
      </w:r>
      <w:r w:rsidR="004B0FD0">
        <w:t xml:space="preserve"> an observation </w:t>
      </w:r>
      <w:r w:rsidR="00FD00F9">
        <w:t>that the American and Australian provisions ‘may not be the same’</w:t>
      </w:r>
      <w:r w:rsidR="00FD00F9">
        <w:rPr>
          <w:rStyle w:val="FootnoteReference"/>
        </w:rPr>
        <w:footnoteReference w:id="135"/>
      </w:r>
      <w:r w:rsidR="00FD00F9">
        <w:t xml:space="preserve"> to conclude that ‘[d]ifferent outcomes may be sufficient to demonstrate lack of uniformity but may not suffice to show discrimination.’</w:t>
      </w:r>
      <w:r w:rsidR="00FD00F9">
        <w:rPr>
          <w:rStyle w:val="FootnoteReference"/>
        </w:rPr>
        <w:footnoteReference w:id="136"/>
      </w:r>
      <w:r w:rsidR="00FD00F9">
        <w:t xml:space="preserve"> </w:t>
      </w:r>
      <w:r w:rsidR="004E44F7">
        <w:t>However, as</w:t>
      </w:r>
      <w:r w:rsidR="00377639">
        <w:t xml:space="preserve"> that </w:t>
      </w:r>
      <w:r w:rsidR="00590400">
        <w:t xml:space="preserve">negative </w:t>
      </w:r>
      <w:r w:rsidR="005345BC">
        <w:t>conclusion</w:t>
      </w:r>
      <w:r w:rsidR="00377639">
        <w:t xml:space="preserve"> </w:t>
      </w:r>
      <w:r w:rsidR="005C18DD">
        <w:t xml:space="preserve">implicitly </w:t>
      </w:r>
      <w:r w:rsidR="005345BC">
        <w:t>recognises</w:t>
      </w:r>
      <w:r w:rsidR="00377639">
        <w:t xml:space="preserve">, and </w:t>
      </w:r>
      <w:r w:rsidR="004E44F7">
        <w:t xml:space="preserve">the drafting history of section 51(ii) </w:t>
      </w:r>
      <w:r w:rsidR="00377639">
        <w:t>confirms</w:t>
      </w:r>
      <w:r w:rsidR="004E44F7">
        <w:t xml:space="preserve">, </w:t>
      </w:r>
      <w:r w:rsidR="00CD2DF1">
        <w:t>the</w:t>
      </w:r>
      <w:r w:rsidR="004E44F7">
        <w:t xml:space="preserve"> difference between the </w:t>
      </w:r>
      <w:r w:rsidR="000C1CE5">
        <w:t>US</w:t>
      </w:r>
      <w:r w:rsidR="004E44F7">
        <w:t xml:space="preserve"> concept of uniformity and the </w:t>
      </w:r>
      <w:r w:rsidR="000C1CE5">
        <w:t>Australian</w:t>
      </w:r>
      <w:r w:rsidR="004B0FD0">
        <w:t xml:space="preserve"> concept of discrimination</w:t>
      </w:r>
      <w:r w:rsidR="004E44F7">
        <w:t xml:space="preserve"> is that uniformity is a </w:t>
      </w:r>
      <w:r w:rsidR="004E44F7" w:rsidRPr="00DE6BF8">
        <w:rPr>
          <w:i/>
        </w:rPr>
        <w:t>stricter</w:t>
      </w:r>
      <w:r w:rsidR="004E44F7">
        <w:t xml:space="preserve"> requirement.</w:t>
      </w:r>
      <w:r w:rsidR="00856CD8">
        <w:rPr>
          <w:rStyle w:val="FootnoteReference"/>
        </w:rPr>
        <w:footnoteReference w:id="137"/>
      </w:r>
      <w:r w:rsidR="004E44F7">
        <w:t xml:space="preserve"> </w:t>
      </w:r>
      <w:r w:rsidR="00CB6B91">
        <w:t>Accordingly</w:t>
      </w:r>
      <w:r w:rsidR="004E44F7">
        <w:t xml:space="preserve">, </w:t>
      </w:r>
      <w:r w:rsidR="00377639">
        <w:t xml:space="preserve">US </w:t>
      </w:r>
      <w:r w:rsidR="004E44F7">
        <w:t xml:space="preserve">decisions </w:t>
      </w:r>
      <w:r w:rsidR="00377639">
        <w:t>that taxes</w:t>
      </w:r>
      <w:r w:rsidR="004E44F7">
        <w:t xml:space="preserve"> </w:t>
      </w:r>
      <w:r w:rsidR="004E44F7" w:rsidRPr="005345BC">
        <w:rPr>
          <w:i/>
        </w:rPr>
        <w:t>do not</w:t>
      </w:r>
      <w:r w:rsidR="004E44F7">
        <w:t xml:space="preserve"> breach the </w:t>
      </w:r>
      <w:r w:rsidR="005345BC">
        <w:t xml:space="preserve">stricter </w:t>
      </w:r>
      <w:r w:rsidR="004E44F7">
        <w:t xml:space="preserve">uniformity requirement </w:t>
      </w:r>
      <w:r w:rsidR="00D60A7A">
        <w:t>should</w:t>
      </w:r>
      <w:r w:rsidR="004E44F7">
        <w:t xml:space="preserve"> be relevant to </w:t>
      </w:r>
      <w:r w:rsidR="00377639">
        <w:t>interpreting the section 51(ii) discrimination prohibition</w:t>
      </w:r>
      <w:r w:rsidR="004E44F7">
        <w:t>.</w:t>
      </w:r>
      <w:r w:rsidR="00377639">
        <w:t xml:space="preserve"> </w:t>
      </w:r>
    </w:p>
    <w:p w14:paraId="28BAED50" w14:textId="0AB94815" w:rsidR="004E44F7" w:rsidRDefault="00377639" w:rsidP="003F2AA9">
      <w:pPr>
        <w:spacing w:line="480" w:lineRule="auto"/>
        <w:ind w:firstLine="720"/>
      </w:pPr>
      <w:r>
        <w:t xml:space="preserve">Moreover, </w:t>
      </w:r>
      <w:r w:rsidR="005345BC">
        <w:t>there has been a</w:t>
      </w:r>
      <w:r>
        <w:t xml:space="preserve"> recent resurgence in the willingness of the High Court to refer to the jurisprudence of foreign courts</w:t>
      </w:r>
      <w:r w:rsidR="005345BC">
        <w:t xml:space="preserve">, particularly the US Supreme Court with respect to legislative powers similar to those in the </w:t>
      </w:r>
      <w:r w:rsidR="005345BC" w:rsidRPr="009750B0">
        <w:rPr>
          <w:i/>
        </w:rPr>
        <w:t>Australian</w:t>
      </w:r>
      <w:r w:rsidR="005345BC">
        <w:t xml:space="preserve"> </w:t>
      </w:r>
      <w:r w:rsidR="005345BC">
        <w:rPr>
          <w:i/>
        </w:rPr>
        <w:t>Constitution</w:t>
      </w:r>
      <w:r w:rsidR="005345BC">
        <w:t>.</w:t>
      </w:r>
      <w:r w:rsidR="005345BC">
        <w:rPr>
          <w:rStyle w:val="FootnoteReference"/>
        </w:rPr>
        <w:footnoteReference w:id="138"/>
      </w:r>
      <w:r w:rsidR="009750B0">
        <w:t xml:space="preserve"> G</w:t>
      </w:r>
      <w:r w:rsidR="001A2C53">
        <w:t>iven the similarities between the Australian and US constitutions, in cases involving issues of discrimination or fiscal federalism, US Supreme Court decisions are at the very least a useful source of potential guidance.</w:t>
      </w:r>
      <w:bookmarkStart w:id="34" w:name="_Ref445897726"/>
      <w:r w:rsidR="001A2C53">
        <w:rPr>
          <w:rStyle w:val="FootnoteReference"/>
        </w:rPr>
        <w:footnoteReference w:id="139"/>
      </w:r>
      <w:bookmarkEnd w:id="34"/>
      <w:r w:rsidR="001A2C53">
        <w:t xml:space="preserve"> </w:t>
      </w:r>
      <w:r w:rsidR="00E77F13">
        <w:t>Consequently</w:t>
      </w:r>
      <w:r w:rsidR="004E44F7">
        <w:t>, th</w:t>
      </w:r>
      <w:r w:rsidR="005345BC">
        <w:t xml:space="preserve">e better </w:t>
      </w:r>
      <w:r w:rsidR="00DE6BF8">
        <w:t xml:space="preserve">view </w:t>
      </w:r>
      <w:r w:rsidR="00E77F13">
        <w:t>is</w:t>
      </w:r>
      <w:r w:rsidR="005345BC">
        <w:t xml:space="preserve"> that of French </w:t>
      </w:r>
      <w:r w:rsidR="004E44F7">
        <w:t>CJ and Crennan J</w:t>
      </w:r>
      <w:r w:rsidR="00EA1D3D">
        <w:t xml:space="preserve"> in </w:t>
      </w:r>
      <w:r w:rsidR="00EA1D3D">
        <w:rPr>
          <w:i/>
        </w:rPr>
        <w:t>Fortescue</w:t>
      </w:r>
      <w:r w:rsidR="004E44F7">
        <w:t xml:space="preserve">, who </w:t>
      </w:r>
      <w:r w:rsidR="005345BC">
        <w:t xml:space="preserve">expressly </w:t>
      </w:r>
      <w:r w:rsidR="004E44F7">
        <w:t xml:space="preserve">held that decisions of the US Supreme Court on the uniformity </w:t>
      </w:r>
      <w:r w:rsidR="004E44F7">
        <w:lastRenderedPageBreak/>
        <w:t>requirement ‘are appropriate sources of comparative constitutional law’ and ‘shed some light on</w:t>
      </w:r>
      <w:r w:rsidR="00E77F13">
        <w:t>’</w:t>
      </w:r>
      <w:r w:rsidR="004E44F7">
        <w:t xml:space="preserve"> section 51(ii).</w:t>
      </w:r>
      <w:r w:rsidR="004E44F7">
        <w:rPr>
          <w:rStyle w:val="FootnoteReference"/>
        </w:rPr>
        <w:footnoteReference w:id="140"/>
      </w:r>
    </w:p>
    <w:p w14:paraId="1E17686D" w14:textId="0BF8674B" w:rsidR="00D141D1" w:rsidRDefault="00E23178" w:rsidP="003F2AA9">
      <w:pPr>
        <w:pStyle w:val="Heading2"/>
        <w:spacing w:line="480" w:lineRule="auto"/>
      </w:pPr>
      <w:bookmarkStart w:id="35" w:name="_Toc449554431"/>
      <w:r>
        <w:rPr>
          <w:i w:val="0"/>
        </w:rPr>
        <w:t xml:space="preserve">C </w:t>
      </w:r>
      <w:r>
        <w:t>US Supreme Court Jurisprudence</w:t>
      </w:r>
      <w:bookmarkEnd w:id="35"/>
    </w:p>
    <w:p w14:paraId="147B5383" w14:textId="35BA3CA2" w:rsidR="00F602B4" w:rsidRDefault="00E23178" w:rsidP="003F2AA9">
      <w:pPr>
        <w:spacing w:line="480" w:lineRule="auto"/>
      </w:pPr>
      <w:r>
        <w:tab/>
      </w:r>
      <w:r w:rsidR="009F6568">
        <w:t xml:space="preserve">An examination of the US Supreme Court jurisprudence indicates that </w:t>
      </w:r>
      <w:r w:rsidR="004B0FD0">
        <w:t>the objective</w:t>
      </w:r>
      <w:r w:rsidR="00E77F13">
        <w:t>s</w:t>
      </w:r>
      <w:r w:rsidR="004B0FD0">
        <w:t xml:space="preserve"> and proportionality of differential treatment </w:t>
      </w:r>
      <w:r w:rsidR="005C6F9D">
        <w:t>are</w:t>
      </w:r>
      <w:r w:rsidR="004B0FD0">
        <w:t xml:space="preserve"> relevant to determining whether the uniformity requirement has been breached</w:t>
      </w:r>
      <w:r w:rsidR="009F6568">
        <w:t xml:space="preserve">. In </w:t>
      </w:r>
      <w:r w:rsidR="009F6568">
        <w:rPr>
          <w:i/>
        </w:rPr>
        <w:t>United States v Ptasynski</w:t>
      </w:r>
      <w:r w:rsidR="009F6568">
        <w:t xml:space="preserve">, the Supreme Court </w:t>
      </w:r>
      <w:r w:rsidR="00F602B4">
        <w:t>entertained</w:t>
      </w:r>
      <w:r w:rsidR="00E77F13">
        <w:t xml:space="preserve"> a challenge to an</w:t>
      </w:r>
      <w:r w:rsidR="00F602B4">
        <w:t xml:space="preserve"> excise duty on the production of oil</w:t>
      </w:r>
      <w:r w:rsidR="00F31C34">
        <w:t xml:space="preserve"> </w:t>
      </w:r>
      <w:r w:rsidR="00E77F13">
        <w:t>that</w:t>
      </w:r>
      <w:r w:rsidR="004B0FD0">
        <w:t xml:space="preserve"> exempted</w:t>
      </w:r>
      <w:r w:rsidR="00F602B4">
        <w:t xml:space="preserve"> oil from wells in the Ar</w:t>
      </w:r>
      <w:r w:rsidR="004B0FD0">
        <w:t>c</w:t>
      </w:r>
      <w:r w:rsidR="00F602B4">
        <w:t>tic Circle or north of the Alaska-Aleutian Range and at least 75 miles from the Trans-Alaska Pipeline</w:t>
      </w:r>
      <w:r w:rsidR="00752557">
        <w:t xml:space="preserve"> System</w:t>
      </w:r>
      <w:r w:rsidR="00F602B4">
        <w:t>.</w:t>
      </w:r>
      <w:r w:rsidR="004B0FD0" w:rsidRPr="004B0FD0">
        <w:rPr>
          <w:rStyle w:val="FootnoteReference"/>
        </w:rPr>
        <w:t xml:space="preserve"> </w:t>
      </w:r>
      <w:r w:rsidR="0071168A">
        <w:t xml:space="preserve">The Court held that the </w:t>
      </w:r>
      <w:r w:rsidR="00E77F13">
        <w:t>exemption</w:t>
      </w:r>
      <w:r w:rsidR="0071168A">
        <w:t xml:space="preserve"> did not violate the uniformity requirement. </w:t>
      </w:r>
    </w:p>
    <w:p w14:paraId="38A48F3C" w14:textId="2FD8F904" w:rsidR="00D66B86" w:rsidRDefault="0071168A" w:rsidP="003F2AA9">
      <w:pPr>
        <w:spacing w:line="480" w:lineRule="auto"/>
        <w:ind w:firstLine="720"/>
      </w:pPr>
      <w:r>
        <w:t xml:space="preserve">Delivering the </w:t>
      </w:r>
      <w:r w:rsidR="00F31C34">
        <w:t>unanimous opinion</w:t>
      </w:r>
      <w:r>
        <w:t xml:space="preserve">, Powell J </w:t>
      </w:r>
      <w:r w:rsidR="003322B6">
        <w:t xml:space="preserve">summarised the previous jurisprudence as establishing the principle that Congress had authority to determine the class of </w:t>
      </w:r>
      <w:r w:rsidR="007239F3">
        <w:t xml:space="preserve">subjects </w:t>
      </w:r>
      <w:r w:rsidR="003322B6">
        <w:t>of taxation, but that a tax must apply at the same rate wherever that class is found.</w:t>
      </w:r>
      <w:r w:rsidR="003322B6">
        <w:rPr>
          <w:rStyle w:val="FootnoteReference"/>
        </w:rPr>
        <w:footnoteReference w:id="141"/>
      </w:r>
      <w:r w:rsidR="007239F3">
        <w:t xml:space="preserve"> His Honour held the uniformity requirement ‘gives Congress wide latitude in deciding what to tax and does not prohibit it from considering geographically isolated problems’</w:t>
      </w:r>
      <w:r w:rsidR="00F31C34">
        <w:t>,</w:t>
      </w:r>
      <w:r w:rsidR="007239F3">
        <w:t xml:space="preserve"> but warned that ‘where Congress does choose to frame a tax in geographic terms, we will examine the classification closely to see if there is </w:t>
      </w:r>
      <w:r w:rsidR="007239F3" w:rsidRPr="00681EE9">
        <w:rPr>
          <w:i/>
        </w:rPr>
        <w:t>actual geographical discrimination</w:t>
      </w:r>
      <w:r w:rsidR="007239F3">
        <w:t>.’</w:t>
      </w:r>
      <w:r w:rsidR="007239F3">
        <w:rPr>
          <w:rStyle w:val="FootnoteReference"/>
        </w:rPr>
        <w:footnoteReference w:id="142"/>
      </w:r>
      <w:r w:rsidR="00681EE9">
        <w:t xml:space="preserve"> </w:t>
      </w:r>
    </w:p>
    <w:p w14:paraId="416C38CC" w14:textId="40B95B66" w:rsidR="0071168A" w:rsidRDefault="00D721C5" w:rsidP="003F2AA9">
      <w:pPr>
        <w:spacing w:line="480" w:lineRule="auto"/>
        <w:ind w:firstLine="720"/>
      </w:pPr>
      <w:r>
        <w:t xml:space="preserve">In order to determine whether differential treatment </w:t>
      </w:r>
      <w:r w:rsidR="002418A7">
        <w:t>imposed by the exemption</w:t>
      </w:r>
      <w:r>
        <w:t xml:space="preserve"> amounted to </w:t>
      </w:r>
      <w:r w:rsidR="00077DE3">
        <w:t xml:space="preserve">such </w:t>
      </w:r>
      <w:r>
        <w:t>discrimination, Powel</w:t>
      </w:r>
      <w:r w:rsidR="007B604A">
        <w:t>l</w:t>
      </w:r>
      <w:r>
        <w:t xml:space="preserve"> J </w:t>
      </w:r>
      <w:r w:rsidR="00077DE3">
        <w:t>identified</w:t>
      </w:r>
      <w:r>
        <w:t xml:space="preserve"> the </w:t>
      </w:r>
      <w:r w:rsidR="00933FF5">
        <w:t>objective</w:t>
      </w:r>
      <w:r>
        <w:t xml:space="preserve"> of the exemption</w:t>
      </w:r>
      <w:r w:rsidR="00077DE3">
        <w:t xml:space="preserve"> by referring to </w:t>
      </w:r>
      <w:r w:rsidR="00F31C34">
        <w:t>its</w:t>
      </w:r>
      <w:r w:rsidR="00077DE3">
        <w:t xml:space="preserve"> legislative history</w:t>
      </w:r>
      <w:r w:rsidR="002418A7">
        <w:t xml:space="preserve"> and then held </w:t>
      </w:r>
      <w:r w:rsidR="003C0AE5">
        <w:t>the exemption</w:t>
      </w:r>
      <w:r w:rsidR="002418A7">
        <w:t xml:space="preserve"> was proportionate</w:t>
      </w:r>
      <w:r w:rsidR="00681EE9">
        <w:t>:</w:t>
      </w:r>
      <w:r w:rsidR="00681EE9">
        <w:rPr>
          <w:rStyle w:val="FootnoteReference"/>
        </w:rPr>
        <w:footnoteReference w:id="143"/>
      </w:r>
    </w:p>
    <w:p w14:paraId="0A8A1D9B" w14:textId="4F1A39C8" w:rsidR="00681EE9" w:rsidRPr="00681EE9" w:rsidRDefault="00681EE9" w:rsidP="00681EE9">
      <w:pPr>
        <w:ind w:left="720"/>
        <w:rPr>
          <w:sz w:val="20"/>
        </w:rPr>
      </w:pPr>
      <w:r>
        <w:rPr>
          <w:sz w:val="20"/>
        </w:rPr>
        <w:t xml:space="preserve">Congress clearly viewed ‘exempt Alaskan oil’ as a unique class of oil that, consistent with the scheme of the Act, merited favorable treatment. It had before it ample evidence of the disproportionate costs and difficulties – the fragile ecology, the harsh environment, and the remote location – associated with extracting oil from this region. We cannot fault its determination, </w:t>
      </w:r>
      <w:r>
        <w:rPr>
          <w:i/>
          <w:sz w:val="20"/>
        </w:rPr>
        <w:t>based on neutral factors</w:t>
      </w:r>
      <w:r>
        <w:rPr>
          <w:sz w:val="20"/>
        </w:rPr>
        <w:t xml:space="preserve">, that this oil required separate treatment. Nor is there any indication that Congress sought to benefit Alaska for reasons that would offend the purposes of the [uniformity] Clause. Nothing in the Act’s legislative </w:t>
      </w:r>
      <w:r>
        <w:rPr>
          <w:sz w:val="20"/>
        </w:rPr>
        <w:lastRenderedPageBreak/>
        <w:t xml:space="preserve">history suggests that Congress intended to grant Alaska </w:t>
      </w:r>
      <w:r w:rsidRPr="00D66B86">
        <w:rPr>
          <w:i/>
          <w:sz w:val="20"/>
        </w:rPr>
        <w:t>an undue preference</w:t>
      </w:r>
      <w:r>
        <w:rPr>
          <w:sz w:val="20"/>
        </w:rPr>
        <w:t xml:space="preserve"> at the expense of other oil-producing States.</w:t>
      </w:r>
    </w:p>
    <w:p w14:paraId="2CC61848" w14:textId="77777777" w:rsidR="00E23178" w:rsidRDefault="00E23178" w:rsidP="00AE4F32"/>
    <w:p w14:paraId="2A911050" w14:textId="13C90937" w:rsidR="00077DE3" w:rsidRPr="00077DE3" w:rsidRDefault="00D721C5" w:rsidP="003F2AA9">
      <w:pPr>
        <w:spacing w:line="480" w:lineRule="auto"/>
      </w:pPr>
      <w:r>
        <w:t xml:space="preserve">On this basis, the Court held that the Act </w:t>
      </w:r>
      <w:r w:rsidR="00077DE3">
        <w:t xml:space="preserve">was </w:t>
      </w:r>
      <w:r w:rsidR="00F31C34">
        <w:t>non-</w:t>
      </w:r>
      <w:r w:rsidR="00077DE3">
        <w:t xml:space="preserve">discriminatory and </w:t>
      </w:r>
      <w:r w:rsidR="00F31C34">
        <w:t>thus</w:t>
      </w:r>
      <w:r w:rsidR="00077DE3">
        <w:t xml:space="preserve"> </w:t>
      </w:r>
      <w:r w:rsidR="00F31C34">
        <w:t>satisfied</w:t>
      </w:r>
      <w:r>
        <w:t xml:space="preserve"> the uniformity requirement. </w:t>
      </w:r>
      <w:r w:rsidR="00077DE3">
        <w:t xml:space="preserve">If </w:t>
      </w:r>
      <w:r w:rsidR="00BF4A44">
        <w:t>differential</w:t>
      </w:r>
      <w:r w:rsidR="00077DE3">
        <w:t xml:space="preserve"> treatment along geographical lines justified by ‘neutral factors’ does not </w:t>
      </w:r>
      <w:r w:rsidR="00A74F2D">
        <w:t xml:space="preserve">produce ‘an undue preference’ </w:t>
      </w:r>
      <w:r w:rsidR="00BF4A44">
        <w:t xml:space="preserve">and </w:t>
      </w:r>
      <w:r w:rsidR="00A74F2D">
        <w:t>satisfies the</w:t>
      </w:r>
      <w:r w:rsidR="00077DE3">
        <w:t xml:space="preserve"> uniformity requirement, it follows that it should </w:t>
      </w:r>
      <w:r w:rsidR="00A74F2D">
        <w:t>also satisfy</w:t>
      </w:r>
      <w:r w:rsidR="00077DE3">
        <w:t xml:space="preserve"> </w:t>
      </w:r>
      <w:r w:rsidR="00F31C34">
        <w:t>the less strict</w:t>
      </w:r>
      <w:r w:rsidR="00077DE3">
        <w:t xml:space="preserve"> prohibition on geographical discrimination. At the very least, </w:t>
      </w:r>
      <w:r w:rsidR="00077DE3">
        <w:rPr>
          <w:i/>
        </w:rPr>
        <w:t xml:space="preserve">Ptasynski </w:t>
      </w:r>
      <w:r w:rsidR="00077DE3">
        <w:t>shows that mere differential treatment along geographical lines should not amount to</w:t>
      </w:r>
      <w:r w:rsidR="00A74F2D">
        <w:t xml:space="preserve"> section 51(ii) discrimination.</w:t>
      </w:r>
    </w:p>
    <w:p w14:paraId="4713084A" w14:textId="3E0C259B" w:rsidR="00AE4F32" w:rsidRDefault="00A91115" w:rsidP="003F2AA9">
      <w:pPr>
        <w:pStyle w:val="Heading1"/>
        <w:spacing w:line="480" w:lineRule="auto"/>
      </w:pPr>
      <w:bookmarkStart w:id="36" w:name="_Toc449554432"/>
      <w:r>
        <w:t>VI</w:t>
      </w:r>
      <w:r w:rsidR="00413FE5">
        <w:t>I</w:t>
      </w:r>
      <w:r w:rsidR="00AE4F32">
        <w:t xml:space="preserve"> </w:t>
      </w:r>
      <w:r w:rsidR="008B70F9">
        <w:t>Constitutional Validity of the Zone Tax Offset</w:t>
      </w:r>
      <w:bookmarkEnd w:id="36"/>
    </w:p>
    <w:p w14:paraId="00B385DD" w14:textId="7B6C9995" w:rsidR="004C79F4" w:rsidRDefault="004C79F4" w:rsidP="003F2AA9">
      <w:pPr>
        <w:pStyle w:val="Heading2"/>
        <w:spacing w:line="480" w:lineRule="auto"/>
      </w:pPr>
      <w:bookmarkStart w:id="37" w:name="_Toc449554433"/>
      <w:proofErr w:type="gramStart"/>
      <w:r>
        <w:rPr>
          <w:i w:val="0"/>
        </w:rPr>
        <w:t>A</w:t>
      </w:r>
      <w:proofErr w:type="gramEnd"/>
      <w:r>
        <w:rPr>
          <w:i w:val="0"/>
        </w:rPr>
        <w:t xml:space="preserve"> </w:t>
      </w:r>
      <w:r>
        <w:t>Introduction</w:t>
      </w:r>
      <w:bookmarkEnd w:id="37"/>
    </w:p>
    <w:p w14:paraId="0124E445" w14:textId="597C0E21" w:rsidR="00A74F2D" w:rsidRDefault="000007AF" w:rsidP="003F2AA9">
      <w:pPr>
        <w:spacing w:line="480" w:lineRule="auto"/>
      </w:pPr>
      <w:r>
        <w:tab/>
        <w:t xml:space="preserve">Once it is accepted that the explanatory materials to the </w:t>
      </w:r>
      <w:r>
        <w:rPr>
          <w:i/>
        </w:rPr>
        <w:t>Constitution</w:t>
      </w:r>
      <w:r>
        <w:t xml:space="preserve">, the jurisprudence of the High Court and the relevant comparative jurisprudence of foreign courts all support the </w:t>
      </w:r>
      <w:r w:rsidR="00A74F2D">
        <w:t>same interpretation of</w:t>
      </w:r>
      <w:r w:rsidR="00C20D5D">
        <w:t xml:space="preserve"> the section 51(ii) discrimination prohibition</w:t>
      </w:r>
      <w:r>
        <w:t xml:space="preserve">, the next step is to </w:t>
      </w:r>
      <w:r w:rsidR="00BA16C9">
        <w:t xml:space="preserve">apply that interpretation </w:t>
      </w:r>
      <w:r>
        <w:t xml:space="preserve">to determine whether </w:t>
      </w:r>
      <w:r w:rsidR="008C7A7F">
        <w:t>the zone tax offset</w:t>
      </w:r>
      <w:r>
        <w:t xml:space="preserve"> discriminates between states </w:t>
      </w:r>
      <w:r w:rsidR="008C7A7F">
        <w:t>or</w:t>
      </w:r>
      <w:r>
        <w:t xml:space="preserve"> parts of states. </w:t>
      </w:r>
      <w:r w:rsidR="008C7A7F">
        <w:t>T</w:t>
      </w:r>
      <w:r w:rsidR="00D7551F">
        <w:t xml:space="preserve">he </w:t>
      </w:r>
      <w:r w:rsidR="00A91115">
        <w:t>issue</w:t>
      </w:r>
      <w:r w:rsidR="00ED578D">
        <w:t xml:space="preserve"> is whether the zone tax offset imposes differential treatment </w:t>
      </w:r>
      <w:r w:rsidR="00AA2138">
        <w:t>alo</w:t>
      </w:r>
      <w:r w:rsidR="002D6268">
        <w:t xml:space="preserve">ng geographical lines </w:t>
      </w:r>
      <w:r w:rsidR="00ED578D">
        <w:t>that is not appropriate and adapted to the attainment of a proper objective.</w:t>
      </w:r>
      <w:r w:rsidR="00ED578D">
        <w:rPr>
          <w:rStyle w:val="FootnoteReference"/>
        </w:rPr>
        <w:footnoteReference w:id="144"/>
      </w:r>
      <w:r w:rsidR="00D7551F">
        <w:t xml:space="preserve"> </w:t>
      </w:r>
    </w:p>
    <w:p w14:paraId="013B1E09" w14:textId="4D78F8F9" w:rsidR="00335D8F" w:rsidRDefault="008C7A7F" w:rsidP="003F2AA9">
      <w:pPr>
        <w:spacing w:line="480" w:lineRule="auto"/>
        <w:ind w:firstLine="720"/>
      </w:pPr>
      <w:r>
        <w:t>Importantly,</w:t>
      </w:r>
      <w:r w:rsidR="00335D8F">
        <w:t xml:space="preserve"> the criterion of </w:t>
      </w:r>
      <w:r w:rsidR="00446810">
        <w:t>proper</w:t>
      </w:r>
      <w:r w:rsidR="00335D8F">
        <w:t xml:space="preserve"> objective and proportionality is not ‘a qualification justifying a law which would otherwise exceed the constitutional limitations’ but rather ‘a criterion for characterisation of a law as discriminatory for the purposes of s 51(ii).’</w:t>
      </w:r>
      <w:r w:rsidR="00335D8F">
        <w:rPr>
          <w:rStyle w:val="FootnoteReference"/>
        </w:rPr>
        <w:footnoteReference w:id="145"/>
      </w:r>
      <w:r w:rsidR="00335D8F">
        <w:t xml:space="preserve"> The analysis </w:t>
      </w:r>
      <w:r w:rsidR="00352AAE">
        <w:t>requires</w:t>
      </w:r>
      <w:r w:rsidR="00335D8F">
        <w:t xml:space="preserve"> ‘holistic balancing’ of </w:t>
      </w:r>
      <w:r w:rsidR="003660B5">
        <w:t>all relevant criteria</w:t>
      </w:r>
      <w:r w:rsidR="00335D8F">
        <w:t xml:space="preserve"> rather than a ‘two-stage defeasibility model’ under which proportionate implementation of </w:t>
      </w:r>
      <w:r w:rsidR="00446810">
        <w:t>proper</w:t>
      </w:r>
      <w:r w:rsidR="00335D8F">
        <w:t xml:space="preserve"> </w:t>
      </w:r>
      <w:r w:rsidR="00335D8F">
        <w:lastRenderedPageBreak/>
        <w:t>objectives excuse otherwise discriminatory differential treatment.</w:t>
      </w:r>
      <w:bookmarkStart w:id="38" w:name="_Ref444687782"/>
      <w:r w:rsidR="00335D8F">
        <w:rPr>
          <w:rStyle w:val="FootnoteReference"/>
        </w:rPr>
        <w:footnoteReference w:id="146"/>
      </w:r>
      <w:bookmarkEnd w:id="38"/>
      <w:r w:rsidR="004722A1">
        <w:t xml:space="preserve"> As such, differential treatment on the one hand and objective</w:t>
      </w:r>
      <w:r>
        <w:t>s</w:t>
      </w:r>
      <w:r w:rsidR="004722A1">
        <w:t xml:space="preserve"> and proportionality on the other are equal and integral elements in characterising whether taxation laws are discriminatory.</w:t>
      </w:r>
    </w:p>
    <w:p w14:paraId="64657507" w14:textId="21F41D5E" w:rsidR="00A74F2D" w:rsidRDefault="009A6AE1" w:rsidP="003F2AA9">
      <w:pPr>
        <w:spacing w:line="480" w:lineRule="auto"/>
        <w:ind w:firstLine="720"/>
      </w:pPr>
      <w:r>
        <w:t>In this</w:t>
      </w:r>
      <w:r w:rsidR="00696F10">
        <w:t xml:space="preserve"> </w:t>
      </w:r>
      <w:r w:rsidR="00903087">
        <w:t>P</w:t>
      </w:r>
      <w:r w:rsidR="00BA16C9">
        <w:t>art</w:t>
      </w:r>
      <w:r>
        <w:t xml:space="preserve"> I</w:t>
      </w:r>
      <w:r w:rsidR="00696F10">
        <w:t xml:space="preserve"> will </w:t>
      </w:r>
      <w:r w:rsidR="00E02DD9">
        <w:t>argue that</w:t>
      </w:r>
      <w:r w:rsidR="00ED578D">
        <w:t xml:space="preserve"> </w:t>
      </w:r>
      <w:r w:rsidR="001727AF">
        <w:t>the offset cannot be characterised as discriminatory</w:t>
      </w:r>
      <w:r w:rsidR="00A91115">
        <w:t xml:space="preserve"> for two reasons. Firstly, </w:t>
      </w:r>
      <w:r w:rsidR="001727AF">
        <w:t>it</w:t>
      </w:r>
      <w:r w:rsidR="00A91115">
        <w:t xml:space="preserve"> does not impose differential treatment </w:t>
      </w:r>
      <w:r w:rsidR="008C7A7F">
        <w:t>on</w:t>
      </w:r>
      <w:r w:rsidR="00A91115">
        <w:t xml:space="preserve"> </w:t>
      </w:r>
      <w:r w:rsidR="0081596A">
        <w:t>taxpayers</w:t>
      </w:r>
      <w:r w:rsidR="00702DC7">
        <w:t xml:space="preserve"> </w:t>
      </w:r>
      <w:r w:rsidR="00702DC7" w:rsidRPr="00702DC7">
        <w:rPr>
          <w:i/>
        </w:rPr>
        <w:t>in the same or similar circumstances</w:t>
      </w:r>
      <w:r w:rsidR="00702DC7">
        <w:t xml:space="preserve">. Secondly, despite not being as efficient as it could be, </w:t>
      </w:r>
      <w:r w:rsidR="0081596A">
        <w:t xml:space="preserve">the </w:t>
      </w:r>
      <w:r w:rsidR="00702DC7">
        <w:t xml:space="preserve">offset </w:t>
      </w:r>
      <w:r w:rsidR="00702DC7" w:rsidRPr="00553302">
        <w:rPr>
          <w:i/>
        </w:rPr>
        <w:t>is appropriate and adapted to the attainment of proper objectives</w:t>
      </w:r>
      <w:r w:rsidR="00702DC7">
        <w:t xml:space="preserve">, namely the development of remote Australia and compensation </w:t>
      </w:r>
      <w:r w:rsidR="00AA2138">
        <w:t>of</w:t>
      </w:r>
      <w:r w:rsidR="00702DC7">
        <w:t xml:space="preserve"> </w:t>
      </w:r>
      <w:r w:rsidR="00AA2138">
        <w:t>individuals</w:t>
      </w:r>
      <w:r w:rsidR="00702DC7">
        <w:t xml:space="preserve"> </w:t>
      </w:r>
      <w:r w:rsidR="00335D8F">
        <w:t>who reside</w:t>
      </w:r>
      <w:r w:rsidR="00702DC7">
        <w:t xml:space="preserve"> </w:t>
      </w:r>
      <w:r w:rsidR="001727AF">
        <w:t>there</w:t>
      </w:r>
      <w:r w:rsidR="00702DC7">
        <w:t>.</w:t>
      </w:r>
      <w:r w:rsidR="00A74F2D">
        <w:t xml:space="preserve"> </w:t>
      </w:r>
    </w:p>
    <w:p w14:paraId="104CD5B4" w14:textId="4B7F2833" w:rsidR="004C79F4" w:rsidRDefault="004C79F4" w:rsidP="003F2AA9">
      <w:pPr>
        <w:pStyle w:val="Heading2"/>
        <w:spacing w:line="480" w:lineRule="auto"/>
      </w:pPr>
      <w:bookmarkStart w:id="39" w:name="_Toc449554434"/>
      <w:r>
        <w:rPr>
          <w:i w:val="0"/>
        </w:rPr>
        <w:t xml:space="preserve">B </w:t>
      </w:r>
      <w:r>
        <w:t>Differential Treatment</w:t>
      </w:r>
      <w:bookmarkEnd w:id="39"/>
    </w:p>
    <w:p w14:paraId="32F4A399" w14:textId="5B7D1AE8" w:rsidR="00C75D65" w:rsidRDefault="00E90294" w:rsidP="003F2AA9">
      <w:pPr>
        <w:spacing w:line="480" w:lineRule="auto"/>
      </w:pPr>
      <w:r>
        <w:tab/>
      </w:r>
      <w:r w:rsidR="00AC13C3">
        <w:t>Viewed s</w:t>
      </w:r>
      <w:r>
        <w:t xml:space="preserve">uperficially, the zone tax offset appears </w:t>
      </w:r>
      <w:r w:rsidR="00AC13C3">
        <w:t xml:space="preserve">to treat taxpayers differently on the basis of their state connection by dividing Australia into four zones that each comprise </w:t>
      </w:r>
      <w:r w:rsidR="005C6F9D">
        <w:t xml:space="preserve">different </w:t>
      </w:r>
      <w:r w:rsidR="00AC13C3">
        <w:t xml:space="preserve">parts of </w:t>
      </w:r>
      <w:r w:rsidR="005C6F9D">
        <w:t xml:space="preserve">different </w:t>
      </w:r>
      <w:r w:rsidR="00AC13C3">
        <w:t>states. None of the previous jurisprudence regarding section 51(ii) involved laws that on their face differentiate</w:t>
      </w:r>
      <w:r w:rsidR="005C6F9D">
        <w:t>d</w:t>
      </w:r>
      <w:r w:rsidR="00AC13C3">
        <w:t xml:space="preserve"> between parts </w:t>
      </w:r>
      <w:r w:rsidR="00AC13C3" w:rsidRPr="00C75D65">
        <w:t>of states</w:t>
      </w:r>
      <w:r w:rsidR="00C75D65">
        <w:t xml:space="preserve"> in this way</w:t>
      </w:r>
      <w:r w:rsidR="00AC13C3" w:rsidRPr="00C75D65">
        <w:t xml:space="preserve">. </w:t>
      </w:r>
      <w:r w:rsidR="00575544" w:rsidRPr="00C75D65">
        <w:t>Nevertheless,</w:t>
      </w:r>
      <w:r w:rsidR="00407893" w:rsidRPr="00C75D65">
        <w:t xml:space="preserve"> i</w:t>
      </w:r>
      <w:r w:rsidR="008220C1" w:rsidRPr="00C75D65">
        <w:t xml:space="preserve">t is instructive that </w:t>
      </w:r>
      <w:r w:rsidR="00BE224C" w:rsidRPr="00C75D65">
        <w:t xml:space="preserve">in both </w:t>
      </w:r>
      <w:r w:rsidRPr="00C75D65">
        <w:rPr>
          <w:i/>
        </w:rPr>
        <w:t xml:space="preserve">Barger </w:t>
      </w:r>
      <w:r w:rsidRPr="00C75D65">
        <w:t xml:space="preserve">and </w:t>
      </w:r>
      <w:r w:rsidRPr="00C75D65">
        <w:rPr>
          <w:i/>
        </w:rPr>
        <w:t>Conroy</w:t>
      </w:r>
      <w:r w:rsidR="00AC13C3" w:rsidRPr="00C75D65">
        <w:t xml:space="preserve"> (</w:t>
      </w:r>
      <w:r w:rsidRPr="00C75D65">
        <w:t xml:space="preserve">the two cases in which the Court divided on the issue of </w:t>
      </w:r>
      <w:r w:rsidR="00AC13C3" w:rsidRPr="00C75D65">
        <w:t>differential treatment)</w:t>
      </w:r>
      <w:r w:rsidRPr="00C75D65">
        <w:t xml:space="preserve"> </w:t>
      </w:r>
      <w:r w:rsidR="004C0A15" w:rsidRPr="00C75D65">
        <w:t xml:space="preserve">the minority emphasised </w:t>
      </w:r>
      <w:r w:rsidR="00407893" w:rsidRPr="00C75D65">
        <w:t xml:space="preserve">the form of the law as not creating any differential treatment, whereas </w:t>
      </w:r>
      <w:r w:rsidR="004C0A15" w:rsidRPr="00C75D65">
        <w:t xml:space="preserve">the majority emphasised the substantive operation of the law </w:t>
      </w:r>
      <w:r w:rsidR="00407893" w:rsidRPr="00C75D65">
        <w:t xml:space="preserve">as creating differential treatment. </w:t>
      </w:r>
    </w:p>
    <w:p w14:paraId="132C3803" w14:textId="78642DFE" w:rsidR="008220C1" w:rsidRPr="002812C9" w:rsidRDefault="00C75D65" w:rsidP="003F2AA9">
      <w:pPr>
        <w:spacing w:line="480" w:lineRule="auto"/>
        <w:ind w:firstLine="720"/>
        <w:rPr>
          <w:sz w:val="36"/>
        </w:rPr>
      </w:pPr>
      <w:r>
        <w:t xml:space="preserve">Effectively, the majorities in both </w:t>
      </w:r>
      <w:r>
        <w:rPr>
          <w:i/>
        </w:rPr>
        <w:t xml:space="preserve">Barger </w:t>
      </w:r>
      <w:r>
        <w:t xml:space="preserve">and </w:t>
      </w:r>
      <w:r>
        <w:rPr>
          <w:i/>
        </w:rPr>
        <w:t xml:space="preserve">Conroy </w:t>
      </w:r>
      <w:r w:rsidR="000B63A1" w:rsidRPr="00C75D65">
        <w:t>held</w:t>
      </w:r>
      <w:r w:rsidR="003641DB" w:rsidRPr="00C75D65">
        <w:t xml:space="preserve"> that ostensible formal </w:t>
      </w:r>
      <w:r w:rsidR="000B63A1" w:rsidRPr="00C75D65">
        <w:t>equality</w:t>
      </w:r>
      <w:r w:rsidR="003641DB" w:rsidRPr="00C75D65">
        <w:t xml:space="preserve"> may be belied </w:t>
      </w:r>
      <w:r w:rsidR="00284843" w:rsidRPr="00C75D65">
        <w:t xml:space="preserve">by </w:t>
      </w:r>
      <w:r w:rsidR="00813ACE" w:rsidRPr="00C75D65">
        <w:t xml:space="preserve">the substantive </w:t>
      </w:r>
      <w:r w:rsidR="00284843" w:rsidRPr="00C75D65">
        <w:t xml:space="preserve">and practical </w:t>
      </w:r>
      <w:r w:rsidR="00813ACE" w:rsidRPr="00C75D65">
        <w:t>operation of a taxation law</w:t>
      </w:r>
      <w:r w:rsidR="00FA08F2" w:rsidRPr="00C75D65">
        <w:t xml:space="preserve"> </w:t>
      </w:r>
      <w:r w:rsidR="00FC55B3" w:rsidRPr="00C75D65">
        <w:t>that</w:t>
      </w:r>
      <w:r w:rsidR="00FA08F2" w:rsidRPr="00C75D65">
        <w:t xml:space="preserve"> produce</w:t>
      </w:r>
      <w:r w:rsidR="00FC55B3" w:rsidRPr="00C75D65">
        <w:t>s</w:t>
      </w:r>
      <w:r w:rsidR="00FA08F2" w:rsidRPr="00C75D65">
        <w:t xml:space="preserve"> differential treatment</w:t>
      </w:r>
      <w:r w:rsidR="003641DB" w:rsidRPr="00C75D65">
        <w:t>.</w:t>
      </w:r>
      <w:r w:rsidR="000B63A1" w:rsidRPr="00C75D65">
        <w:t xml:space="preserve"> </w:t>
      </w:r>
      <w:r w:rsidR="00AD398A" w:rsidRPr="00C75D65">
        <w:t>Logically</w:t>
      </w:r>
      <w:r w:rsidR="000B63A1" w:rsidRPr="00C75D65">
        <w:t>,</w:t>
      </w:r>
      <w:r w:rsidR="00AD398A" w:rsidRPr="00C75D65">
        <w:t xml:space="preserve"> it </w:t>
      </w:r>
      <w:r w:rsidR="00F74A92" w:rsidRPr="00C75D65">
        <w:t>should follow</w:t>
      </w:r>
      <w:r w:rsidR="00AD398A" w:rsidRPr="00C75D65">
        <w:t xml:space="preserve"> that</w:t>
      </w:r>
      <w:r w:rsidR="000B63A1" w:rsidRPr="00C75D65">
        <w:t xml:space="preserve"> ostensibl</w:t>
      </w:r>
      <w:r w:rsidR="00021BC9" w:rsidRPr="00C75D65">
        <w:t>e</w:t>
      </w:r>
      <w:r w:rsidR="00BE224C" w:rsidRPr="00C75D65">
        <w:t xml:space="preserve"> formal differential treatment</w:t>
      </w:r>
      <w:r w:rsidR="00021BC9" w:rsidRPr="00C75D65">
        <w:t xml:space="preserve"> </w:t>
      </w:r>
      <w:r w:rsidR="000B63A1" w:rsidRPr="00C75D65">
        <w:t xml:space="preserve">may be belied by the substantive and practical operation of </w:t>
      </w:r>
      <w:r w:rsidR="00F74A92" w:rsidRPr="00C75D65">
        <w:t xml:space="preserve">a taxation law </w:t>
      </w:r>
      <w:r w:rsidR="000B63A1" w:rsidRPr="00C75D65">
        <w:t>that produce</w:t>
      </w:r>
      <w:r w:rsidR="00FC55B3" w:rsidRPr="00C75D65">
        <w:t>s</w:t>
      </w:r>
      <w:r w:rsidR="000B63A1" w:rsidRPr="00C75D65">
        <w:t xml:space="preserve"> equal treatment.</w:t>
      </w:r>
      <w:r w:rsidR="00A74F2D" w:rsidRPr="00C75D65">
        <w:t xml:space="preserve"> As Crennan J stated succinctly in </w:t>
      </w:r>
      <w:r w:rsidR="00A74F2D" w:rsidRPr="00C75D65">
        <w:rPr>
          <w:i/>
        </w:rPr>
        <w:t>Fortescue</w:t>
      </w:r>
      <w:r w:rsidR="00A74F2D" w:rsidRPr="00C75D65">
        <w:t>, ‘it is necessary to consider the “real substance and effect”, not just the form, of the tax.’</w:t>
      </w:r>
      <w:r w:rsidR="00A74F2D" w:rsidRPr="00C75D65">
        <w:rPr>
          <w:rStyle w:val="FootnoteReference"/>
        </w:rPr>
        <w:footnoteReference w:id="147"/>
      </w:r>
      <w:r>
        <w:t xml:space="preserve"> Moreover, as </w:t>
      </w:r>
      <w:r>
        <w:lastRenderedPageBreak/>
        <w:t xml:space="preserve">French CJ stated in </w:t>
      </w:r>
      <w:r>
        <w:rPr>
          <w:i/>
        </w:rPr>
        <w:t>Fortescue</w:t>
      </w:r>
      <w:r>
        <w:t xml:space="preserve">, </w:t>
      </w:r>
      <w:r w:rsidR="002812C9">
        <w:t xml:space="preserve">section 51(ii) will not necessarily be breached by </w:t>
      </w:r>
      <w:r w:rsidR="00984C27">
        <w:t>‘</w:t>
      </w:r>
      <w:r w:rsidRPr="00984C27">
        <w:t xml:space="preserve">differences between States in the application of the law, </w:t>
      </w:r>
      <w:r w:rsidRPr="002812C9">
        <w:rPr>
          <w:i/>
        </w:rPr>
        <w:t>for which the law makes provision</w:t>
      </w:r>
      <w:r w:rsidR="002812C9">
        <w:t>’.</w:t>
      </w:r>
      <w:r w:rsidR="002812C9">
        <w:rPr>
          <w:rStyle w:val="FootnoteReference"/>
        </w:rPr>
        <w:footnoteReference w:id="148"/>
      </w:r>
    </w:p>
    <w:p w14:paraId="13C96A0A" w14:textId="697E2F23" w:rsidR="00813ACE" w:rsidRDefault="002D6268" w:rsidP="003F2AA9">
      <w:pPr>
        <w:spacing w:line="480" w:lineRule="auto"/>
      </w:pPr>
      <w:r>
        <w:tab/>
      </w:r>
      <w:r w:rsidR="0081596A">
        <w:t xml:space="preserve">In propounding </w:t>
      </w:r>
      <w:r w:rsidR="006B5E48">
        <w:t>the</w:t>
      </w:r>
      <w:r w:rsidR="0081596A">
        <w:t xml:space="preserve"> proper interpretative approach to section 51(ii), French CJ invoked the reasoning of cases that </w:t>
      </w:r>
      <w:r w:rsidR="007B604A">
        <w:t>embody</w:t>
      </w:r>
      <w:r w:rsidR="0081596A">
        <w:t xml:space="preserve"> </w:t>
      </w:r>
      <w:r w:rsidR="00021BC9">
        <w:t xml:space="preserve">a standard concept of discrimination the High Court </w:t>
      </w:r>
      <w:r w:rsidR="00AE4C59">
        <w:t>applies</w:t>
      </w:r>
      <w:r w:rsidR="00021BC9">
        <w:t xml:space="preserve"> in constitutional, statutory and common law contexts</w:t>
      </w:r>
      <w:r w:rsidR="00EF36F4">
        <w:t>, which</w:t>
      </w:r>
      <w:r w:rsidR="0081596A">
        <w:t xml:space="preserve"> Simpson has </w:t>
      </w:r>
      <w:r w:rsidR="00021BC9">
        <w:t>coined</w:t>
      </w:r>
      <w:r w:rsidR="0081596A">
        <w:t xml:space="preserve"> the </w:t>
      </w:r>
      <w:r w:rsidR="008E7147">
        <w:t>Court’s ‘universal conception of discrimination’</w:t>
      </w:r>
      <w:r w:rsidR="00021BC9">
        <w:t>.</w:t>
      </w:r>
      <w:r w:rsidR="00021BC9">
        <w:rPr>
          <w:rStyle w:val="FootnoteReference"/>
        </w:rPr>
        <w:footnoteReference w:id="149"/>
      </w:r>
      <w:r w:rsidR="008E7147">
        <w:t xml:space="preserve"> </w:t>
      </w:r>
      <w:r w:rsidR="00021BC9">
        <w:t>This</w:t>
      </w:r>
      <w:r w:rsidR="008E7147">
        <w:t xml:space="preserve"> </w:t>
      </w:r>
      <w:r w:rsidR="00021BC9">
        <w:t xml:space="preserve">conception </w:t>
      </w:r>
      <w:r w:rsidR="008E7147">
        <w:t>‘favours a flexible view of “alikeness” in the construction of specific rules along with a substance-focused approach to their application.’</w:t>
      </w:r>
      <w:r w:rsidR="008E7147">
        <w:rPr>
          <w:rStyle w:val="FootnoteReference"/>
        </w:rPr>
        <w:footnoteReference w:id="150"/>
      </w:r>
      <w:r w:rsidR="008E7147">
        <w:t xml:space="preserve"> </w:t>
      </w:r>
      <w:r w:rsidR="00021BC9">
        <w:t>The</w:t>
      </w:r>
      <w:r w:rsidR="001D2184">
        <w:t xml:space="preserve"> </w:t>
      </w:r>
      <w:r w:rsidR="005C6F9D">
        <w:t xml:space="preserve">universal conception </w:t>
      </w:r>
      <w:r w:rsidR="001D2184">
        <w:t xml:space="preserve">cases emphasise that </w:t>
      </w:r>
      <w:r w:rsidR="00737B18">
        <w:t>differential treatment</w:t>
      </w:r>
      <w:r w:rsidR="001D2184">
        <w:t xml:space="preserve"> involves </w:t>
      </w:r>
      <w:r w:rsidR="00737B18">
        <w:t>‘the unequal treatment of equals or the equal treatment of those who are not equals’.</w:t>
      </w:r>
      <w:r w:rsidR="00737B18">
        <w:rPr>
          <w:rStyle w:val="FootnoteReference"/>
        </w:rPr>
        <w:footnoteReference w:id="151"/>
      </w:r>
      <w:r w:rsidR="006B7307">
        <w:t xml:space="preserve"> </w:t>
      </w:r>
      <w:r w:rsidR="00903087">
        <w:t>This definition</w:t>
      </w:r>
      <w:r w:rsidR="00B33CEA">
        <w:t xml:space="preserve"> </w:t>
      </w:r>
      <w:r w:rsidR="006B5E48">
        <w:t>mandates</w:t>
      </w:r>
      <w:r w:rsidR="00B33CEA">
        <w:t xml:space="preserve"> the identification of an appropriate comparator. </w:t>
      </w:r>
      <w:r w:rsidR="006B5E48">
        <w:t>In undertaking that task</w:t>
      </w:r>
      <w:r w:rsidR="00B33CEA">
        <w:t>, the universal conception cases recognise context will be extremely relevant.</w:t>
      </w:r>
      <w:r w:rsidR="00B33CEA">
        <w:rPr>
          <w:rStyle w:val="FootnoteReference"/>
        </w:rPr>
        <w:footnoteReference w:id="152"/>
      </w:r>
      <w:r w:rsidR="0088707D">
        <w:t xml:space="preserve"> </w:t>
      </w:r>
    </w:p>
    <w:p w14:paraId="02482037" w14:textId="61175431" w:rsidR="00FC1217" w:rsidRDefault="00F76969" w:rsidP="003F2AA9">
      <w:pPr>
        <w:spacing w:line="480" w:lineRule="auto"/>
        <w:ind w:firstLine="720"/>
      </w:pPr>
      <w:r>
        <w:t>I</w:t>
      </w:r>
      <w:r w:rsidR="003655B6">
        <w:t xml:space="preserve">n </w:t>
      </w:r>
      <w:r w:rsidR="0028474C">
        <w:t xml:space="preserve">the </w:t>
      </w:r>
      <w:r w:rsidR="003655B6">
        <w:t xml:space="preserve">case of the zone tax offset, that context </w:t>
      </w:r>
      <w:r w:rsidR="00284843">
        <w:t>is</w:t>
      </w:r>
      <w:r w:rsidR="003655B6">
        <w:t xml:space="preserve"> provided by</w:t>
      </w:r>
      <w:r w:rsidR="00284843">
        <w:t xml:space="preserve"> the terms of the section</w:t>
      </w:r>
      <w:r w:rsidR="003655B6">
        <w:t> </w:t>
      </w:r>
      <w:r w:rsidR="00284843">
        <w:t xml:space="preserve">51(ii) discrimination prohibition and the income tax legislation. </w:t>
      </w:r>
      <w:r w:rsidR="00355E7F">
        <w:t xml:space="preserve">For the reasons already given </w:t>
      </w:r>
      <w:r w:rsidR="00413FE5">
        <w:t>in Part</w:t>
      </w:r>
      <w:r w:rsidR="000B33D4">
        <w:t>s</w:t>
      </w:r>
      <w:r w:rsidR="00413FE5">
        <w:t xml:space="preserve"> </w:t>
      </w:r>
      <w:r w:rsidR="00284843">
        <w:t>V(</w:t>
      </w:r>
      <w:r w:rsidR="001F48C2">
        <w:t>C</w:t>
      </w:r>
      <w:r w:rsidR="00284843">
        <w:t xml:space="preserve">) </w:t>
      </w:r>
      <w:r w:rsidR="000B33D4">
        <w:t>and V(D)</w:t>
      </w:r>
      <w:r w:rsidR="00355E7F">
        <w:t xml:space="preserve">, </w:t>
      </w:r>
      <w:r w:rsidR="00AD398A">
        <w:t>the section 51(ii)</w:t>
      </w:r>
      <w:r w:rsidR="00355E7F">
        <w:t xml:space="preserve"> </w:t>
      </w:r>
      <w:r w:rsidR="006622D7">
        <w:t xml:space="preserve">discrimination </w:t>
      </w:r>
      <w:r w:rsidR="00355E7F">
        <w:t xml:space="preserve">prohibition must be seen as a protection for </w:t>
      </w:r>
      <w:r w:rsidR="006622D7">
        <w:t>persons</w:t>
      </w:r>
      <w:r w:rsidR="00355E7F">
        <w:t>.</w:t>
      </w:r>
      <w:r w:rsidR="00903087">
        <w:t xml:space="preserve"> </w:t>
      </w:r>
      <w:r w:rsidR="00284843">
        <w:t xml:space="preserve">Therefore, in the </w:t>
      </w:r>
      <w:r w:rsidR="00903087">
        <w:t xml:space="preserve">specific </w:t>
      </w:r>
      <w:r w:rsidR="00284843">
        <w:t>context of the zo</w:t>
      </w:r>
      <w:r w:rsidR="00903087">
        <w:t xml:space="preserve">ne tax offset, discrimination requires a comparison of the treatment of </w:t>
      </w:r>
      <w:r w:rsidR="00903087" w:rsidRPr="00BF385C">
        <w:t>individual</w:t>
      </w:r>
      <w:r w:rsidR="00903087">
        <w:t xml:space="preserve"> income taxpayers </w:t>
      </w:r>
      <w:r w:rsidR="006D398D">
        <w:t>connected with</w:t>
      </w:r>
      <w:r w:rsidR="00021BC9">
        <w:t xml:space="preserve"> different locations</w:t>
      </w:r>
      <w:r w:rsidR="00903087">
        <w:t>.</w:t>
      </w:r>
      <w:bookmarkStart w:id="40" w:name="_Ref445846313"/>
      <w:r w:rsidR="00BF6F8E">
        <w:rPr>
          <w:rStyle w:val="FootnoteReference"/>
        </w:rPr>
        <w:footnoteReference w:id="153"/>
      </w:r>
      <w:bookmarkEnd w:id="40"/>
      <w:r w:rsidR="000B33D4">
        <w:t xml:space="preserve"> </w:t>
      </w:r>
      <w:r w:rsidR="00DB158E">
        <w:t>Nevertheless</w:t>
      </w:r>
      <w:r w:rsidR="00021BC9">
        <w:t>,</w:t>
      </w:r>
      <w:r w:rsidR="008D633A">
        <w:t xml:space="preserve"> </w:t>
      </w:r>
      <w:r w:rsidR="00903087">
        <w:t>it</w:t>
      </w:r>
      <w:r w:rsidR="008D633A">
        <w:t xml:space="preserve"> does not </w:t>
      </w:r>
      <w:r w:rsidR="00903087">
        <w:t>follow</w:t>
      </w:r>
      <w:r w:rsidR="008D633A">
        <w:t xml:space="preserve"> that all taxpayers </w:t>
      </w:r>
      <w:r w:rsidR="00021BC9">
        <w:t>with any connection to any location</w:t>
      </w:r>
      <w:r w:rsidR="008D633A">
        <w:t xml:space="preserve"> are </w:t>
      </w:r>
      <w:r w:rsidR="00AD398A">
        <w:t xml:space="preserve">relevantly </w:t>
      </w:r>
      <w:r w:rsidR="008D633A">
        <w:t xml:space="preserve">comparable. </w:t>
      </w:r>
      <w:r w:rsidR="00F726AF">
        <w:t xml:space="preserve">As the explanatory materials and </w:t>
      </w:r>
      <w:r w:rsidR="00C36440">
        <w:t xml:space="preserve">prior </w:t>
      </w:r>
      <w:r w:rsidR="00F726AF">
        <w:t>jurisprudence recognises</w:t>
      </w:r>
      <w:r w:rsidR="00250860">
        <w:t xml:space="preserve">, section 51(ii) prevents </w:t>
      </w:r>
      <w:r w:rsidR="008D633A">
        <w:t xml:space="preserve">discrimination between </w:t>
      </w:r>
      <w:r w:rsidR="00250860">
        <w:t>persons</w:t>
      </w:r>
      <w:r w:rsidR="008D633A">
        <w:t xml:space="preserve"> </w:t>
      </w:r>
      <w:r w:rsidR="00E33FA2">
        <w:rPr>
          <w:i/>
        </w:rPr>
        <w:t>with</w:t>
      </w:r>
      <w:r w:rsidR="008D633A" w:rsidRPr="00EF2EB6">
        <w:rPr>
          <w:i/>
        </w:rPr>
        <w:t xml:space="preserve"> the same</w:t>
      </w:r>
      <w:r w:rsidR="00250860">
        <w:rPr>
          <w:i/>
        </w:rPr>
        <w:t xml:space="preserve"> </w:t>
      </w:r>
      <w:r w:rsidR="0031515F">
        <w:rPr>
          <w:i/>
        </w:rPr>
        <w:t>connection to a state location</w:t>
      </w:r>
      <w:r w:rsidR="00250860">
        <w:rPr>
          <w:i/>
        </w:rPr>
        <w:t xml:space="preserve"> and in the same</w:t>
      </w:r>
      <w:r w:rsidR="008D633A" w:rsidRPr="00EF2EB6">
        <w:rPr>
          <w:i/>
        </w:rPr>
        <w:t xml:space="preserve"> circumstances</w:t>
      </w:r>
      <w:r w:rsidR="008D633A">
        <w:t xml:space="preserve">. </w:t>
      </w:r>
      <w:r w:rsidR="00EF2EB6">
        <w:t xml:space="preserve">In addition to their </w:t>
      </w:r>
      <w:r w:rsidR="00AD398A">
        <w:lastRenderedPageBreak/>
        <w:t xml:space="preserve">state </w:t>
      </w:r>
      <w:r w:rsidR="00EF2EB6">
        <w:t xml:space="preserve">location, each taxpayer has a variety of </w:t>
      </w:r>
      <w:r w:rsidR="00A75803">
        <w:t>circumstances</w:t>
      </w:r>
      <w:r w:rsidR="00EF2EB6">
        <w:t xml:space="preserve"> which may be relevant to determining whether they are comparable for the purposes of section 51(ii)</w:t>
      </w:r>
      <w:r w:rsidR="00AD398A">
        <w:t xml:space="preserve">. </w:t>
      </w:r>
      <w:r w:rsidR="000C0C9A">
        <w:t>A</w:t>
      </w:r>
      <w:r w:rsidR="00323E9C">
        <w:t>n appropriate comparator must have all of an individual’s attributes ex</w:t>
      </w:r>
      <w:r w:rsidR="0031515F">
        <w:t xml:space="preserve">cept their state </w:t>
      </w:r>
      <w:r w:rsidR="00B86FA5">
        <w:t>connection</w:t>
      </w:r>
      <w:r w:rsidR="0031515F">
        <w:t>.</w:t>
      </w:r>
    </w:p>
    <w:p w14:paraId="09745578" w14:textId="067BA068" w:rsidR="00F40BA7" w:rsidRDefault="00903087" w:rsidP="003F2AA9">
      <w:pPr>
        <w:spacing w:line="480" w:lineRule="auto"/>
      </w:pPr>
      <w:r>
        <w:tab/>
      </w:r>
      <w:r w:rsidR="00C36440">
        <w:t xml:space="preserve">By </w:t>
      </w:r>
      <w:r w:rsidR="00A75803">
        <w:t xml:space="preserve">focusing on the substantive and practical operation of the zone tax offset </w:t>
      </w:r>
      <w:r w:rsidR="00C84C24">
        <w:t>and recognising that the relative remoteness of each individual taxpayer</w:t>
      </w:r>
      <w:r w:rsidR="003655B6">
        <w:t>’s residence</w:t>
      </w:r>
      <w:r w:rsidR="00C84C24">
        <w:t xml:space="preserve"> is a</w:t>
      </w:r>
      <w:r w:rsidR="00AD398A">
        <w:t>n additional</w:t>
      </w:r>
      <w:r w:rsidR="00C84C24">
        <w:t xml:space="preserve"> circumstance </w:t>
      </w:r>
      <w:r w:rsidR="00323E9C">
        <w:t xml:space="preserve">or attribute </w:t>
      </w:r>
      <w:r w:rsidR="00F40BA7">
        <w:t>relevant</w:t>
      </w:r>
      <w:r w:rsidR="00C84C24">
        <w:t xml:space="preserve"> to them, </w:t>
      </w:r>
      <w:r w:rsidR="000C0C9A">
        <w:t>the only conclusion is that section 79A imposes no differential treatment</w:t>
      </w:r>
      <w:r w:rsidR="00A75803">
        <w:t xml:space="preserve">. In substance, </w:t>
      </w:r>
      <w:r w:rsidR="00C84C24">
        <w:t>section 79A</w:t>
      </w:r>
      <w:r w:rsidR="00A75803">
        <w:t xml:space="preserve"> grants </w:t>
      </w:r>
      <w:r w:rsidR="00C84C24">
        <w:t xml:space="preserve">all </w:t>
      </w:r>
      <w:r w:rsidR="00A75803">
        <w:t xml:space="preserve">individual taxpayers </w:t>
      </w:r>
      <w:r w:rsidR="00C84C24">
        <w:t xml:space="preserve">in </w:t>
      </w:r>
      <w:r w:rsidR="00A75803">
        <w:t xml:space="preserve">Australia </w:t>
      </w:r>
      <w:r w:rsidR="00C84C24">
        <w:t xml:space="preserve">an offset which increases </w:t>
      </w:r>
      <w:r w:rsidR="00F76969">
        <w:t>correlative to their remoteness</w:t>
      </w:r>
      <w:r w:rsidR="00C84C24">
        <w:t xml:space="preserve">. </w:t>
      </w:r>
      <w:r w:rsidR="00FB38E5">
        <w:t>I</w:t>
      </w:r>
      <w:r w:rsidR="00F40BA7">
        <w:t>ndividual taxpayers are not treated differently purely on the basis of locality</w:t>
      </w:r>
      <w:r w:rsidR="00323E9C">
        <w:t xml:space="preserve"> or state affiliation</w:t>
      </w:r>
      <w:r w:rsidR="00F40BA7">
        <w:t xml:space="preserve">, but </w:t>
      </w:r>
      <w:r w:rsidR="00FB38E5">
        <w:t>on</w:t>
      </w:r>
      <w:r w:rsidR="00F40BA7">
        <w:t xml:space="preserve"> the economic and social consequences </w:t>
      </w:r>
      <w:r w:rsidR="003655B6">
        <w:t>associated with</w:t>
      </w:r>
      <w:r w:rsidR="00F40BA7">
        <w:t xml:space="preserve"> the remoteness of their residence.</w:t>
      </w:r>
    </w:p>
    <w:p w14:paraId="6401AFA0" w14:textId="33B656F3" w:rsidR="002B276F" w:rsidRDefault="00C84C24" w:rsidP="003F2AA9">
      <w:pPr>
        <w:spacing w:line="480" w:lineRule="auto"/>
        <w:ind w:firstLine="720"/>
      </w:pPr>
      <w:r>
        <w:t xml:space="preserve">Put </w:t>
      </w:r>
      <w:r w:rsidR="002B276F">
        <w:t>in the language of the universal conception</w:t>
      </w:r>
      <w:r>
        <w:t xml:space="preserve">, </w:t>
      </w:r>
      <w:r w:rsidR="00F40BA7">
        <w:t>section 79A</w:t>
      </w:r>
      <w:r>
        <w:t xml:space="preserve"> treats equals </w:t>
      </w:r>
      <w:r w:rsidR="00FB38E5">
        <w:t>equally and unequals unequally by granting all remote residents an offset and denying all non-remote residents an offset</w:t>
      </w:r>
      <w:r w:rsidR="005C6F9D">
        <w:t xml:space="preserve"> regardless of state connection</w:t>
      </w:r>
      <w:r>
        <w:t xml:space="preserve">. </w:t>
      </w:r>
      <w:r w:rsidR="00781DED">
        <w:t>Persons in remote</w:t>
      </w:r>
      <w:r w:rsidR="00F40BA7">
        <w:t xml:space="preserve"> New South Wales are treated in th</w:t>
      </w:r>
      <w:r w:rsidR="00781DED">
        <w:t>e same way as persons in remote</w:t>
      </w:r>
      <w:r w:rsidR="00F40BA7">
        <w:t xml:space="preserve"> Queensland; persons in non-remote Western Australia are treated in the same way as persons in non-remote South A</w:t>
      </w:r>
      <w:r w:rsidR="00781DED">
        <w:t>ustralia; and persons in remote</w:t>
      </w:r>
      <w:r w:rsidR="00F40BA7">
        <w:t xml:space="preserve"> Tasmania are treated differently to persons in non-remote Tasmania.</w:t>
      </w:r>
      <w:r w:rsidR="001A6BA6">
        <w:t xml:space="preserve"> </w:t>
      </w:r>
      <w:r w:rsidR="00021EAC">
        <w:t>The conclusion that non-remote and remote individual taxpayers are not relevantly comparable</w:t>
      </w:r>
      <w:r w:rsidR="002B276F">
        <w:t xml:space="preserve"> is consistent with the </w:t>
      </w:r>
      <w:r w:rsidR="005535C6">
        <w:t xml:space="preserve">High Court’s </w:t>
      </w:r>
      <w:r w:rsidR="002B276F">
        <w:t>universal conception of discrimination, which deems affirmative action programmes permissible.</w:t>
      </w:r>
      <w:r w:rsidR="002B276F">
        <w:rPr>
          <w:rStyle w:val="FootnoteReference"/>
        </w:rPr>
        <w:footnoteReference w:id="154"/>
      </w:r>
    </w:p>
    <w:p w14:paraId="17474B9D" w14:textId="2C383BC6" w:rsidR="00911AEE" w:rsidRDefault="00A75803" w:rsidP="003F2AA9">
      <w:pPr>
        <w:spacing w:line="480" w:lineRule="auto"/>
        <w:ind w:firstLine="720"/>
      </w:pPr>
      <w:r>
        <w:t xml:space="preserve">Understood in this way, the zone tax offset is no </w:t>
      </w:r>
      <w:r w:rsidR="00021EAC">
        <w:t>more discriminatory</w:t>
      </w:r>
      <w:r>
        <w:t xml:space="preserve"> </w:t>
      </w:r>
      <w:r w:rsidR="00781DED">
        <w:t xml:space="preserve">in substance </w:t>
      </w:r>
      <w:r w:rsidR="00021EAC">
        <w:t xml:space="preserve">than income tax </w:t>
      </w:r>
      <w:r w:rsidR="00F40BA7">
        <w:t xml:space="preserve">concessions </w:t>
      </w:r>
      <w:r w:rsidR="00021EAC">
        <w:t xml:space="preserve">currently </w:t>
      </w:r>
      <w:r w:rsidR="00F40BA7">
        <w:t>granted to primary producers.</w:t>
      </w:r>
      <w:r w:rsidR="001A6BA6">
        <w:rPr>
          <w:rStyle w:val="FootnoteReference"/>
        </w:rPr>
        <w:footnoteReference w:id="155"/>
      </w:r>
      <w:r w:rsidR="00F40BA7">
        <w:t xml:space="preserve"> </w:t>
      </w:r>
      <w:r>
        <w:t xml:space="preserve">While in form these concessions </w:t>
      </w:r>
      <w:r w:rsidR="006E4695">
        <w:t>are available to all individuals in Australia</w:t>
      </w:r>
      <w:r>
        <w:t xml:space="preserve">, in substance they </w:t>
      </w:r>
      <w:r w:rsidR="00FA08F2">
        <w:t xml:space="preserve">apply only to </w:t>
      </w:r>
      <w:r w:rsidR="006E4695">
        <w:t>individuals</w:t>
      </w:r>
      <w:r w:rsidR="00021EAC">
        <w:t xml:space="preserve"> in </w:t>
      </w:r>
      <w:r w:rsidR="00AD398A">
        <w:t>areas of</w:t>
      </w:r>
      <w:r w:rsidR="00FA08F2">
        <w:t xml:space="preserve"> arable farmland. </w:t>
      </w:r>
      <w:r w:rsidR="00AD398A">
        <w:t xml:space="preserve">However, </w:t>
      </w:r>
      <w:r w:rsidR="00911AEE">
        <w:t>such primary production</w:t>
      </w:r>
      <w:r w:rsidR="00FA08F2">
        <w:t xml:space="preserve"> concessions do </w:t>
      </w:r>
      <w:r w:rsidR="00FA08F2">
        <w:lastRenderedPageBreak/>
        <w:t xml:space="preserve">not </w:t>
      </w:r>
      <w:r w:rsidR="002B276F">
        <w:t>discriminate between parts of states</w:t>
      </w:r>
      <w:r w:rsidR="00911AEE">
        <w:t xml:space="preserve">. </w:t>
      </w:r>
      <w:r w:rsidR="006E4695">
        <w:t>T</w:t>
      </w:r>
      <w:r w:rsidR="00911AEE">
        <w:t>his is</w:t>
      </w:r>
      <w:r w:rsidR="00FA08F2">
        <w:t xml:space="preserve"> because</w:t>
      </w:r>
      <w:r w:rsidR="00AD398A">
        <w:t xml:space="preserve">, </w:t>
      </w:r>
      <w:r w:rsidR="00911AEE">
        <w:t>while they treat taxpayers in different locations differen</w:t>
      </w:r>
      <w:r w:rsidR="00B04FBA">
        <w:t>tly, they do so having regard</w:t>
      </w:r>
      <w:r w:rsidR="00911AEE">
        <w:t xml:space="preserve"> to </w:t>
      </w:r>
      <w:r w:rsidR="00D91668">
        <w:t>circumstances</w:t>
      </w:r>
      <w:r w:rsidR="006E4695">
        <w:t xml:space="preserve"> other than location</w:t>
      </w:r>
      <w:r w:rsidR="00D91668">
        <w:t>, namely</w:t>
      </w:r>
      <w:r w:rsidR="00911AEE">
        <w:t xml:space="preserve"> the business that the taxpayer conducts. </w:t>
      </w:r>
      <w:r w:rsidR="00CA602C">
        <w:t xml:space="preserve">The same reasoning </w:t>
      </w:r>
      <w:r w:rsidR="00AD1AA6">
        <w:t>can justify</w:t>
      </w:r>
      <w:r w:rsidR="00CA602C">
        <w:t xml:space="preserve"> the </w:t>
      </w:r>
      <w:r w:rsidR="00AD1AA6">
        <w:t>conclusions</w:t>
      </w:r>
      <w:r w:rsidR="00CA602C">
        <w:t xml:space="preserve"> in </w:t>
      </w:r>
      <w:r w:rsidR="00CA602C">
        <w:rPr>
          <w:i/>
        </w:rPr>
        <w:t xml:space="preserve">Colonial </w:t>
      </w:r>
      <w:r w:rsidR="00CA602C">
        <w:t xml:space="preserve">and </w:t>
      </w:r>
      <w:r w:rsidR="00CA602C" w:rsidRPr="00CA602C">
        <w:rPr>
          <w:i/>
        </w:rPr>
        <w:t>Fortescue</w:t>
      </w:r>
      <w:r w:rsidR="00AD1AA6">
        <w:rPr>
          <w:i/>
        </w:rPr>
        <w:t xml:space="preserve"> </w:t>
      </w:r>
      <w:r w:rsidR="00AD1AA6">
        <w:t>that differential effects produced by u</w:t>
      </w:r>
      <w:r w:rsidR="005C6F9D">
        <w:t>niform legislation do</w:t>
      </w:r>
      <w:r w:rsidR="00AD1AA6">
        <w:t xml:space="preserve"> not constitute differential treatment</w:t>
      </w:r>
      <w:r w:rsidR="00CA602C">
        <w:t>.</w:t>
      </w:r>
      <w:r w:rsidR="00AD1AA6">
        <w:rPr>
          <w:rStyle w:val="FootnoteReference"/>
        </w:rPr>
        <w:footnoteReference w:id="156"/>
      </w:r>
    </w:p>
    <w:p w14:paraId="3AB0B50D" w14:textId="40036B1F" w:rsidR="00911AEE" w:rsidRDefault="00CA602C" w:rsidP="003F2AA9">
      <w:pPr>
        <w:spacing w:line="480" w:lineRule="auto"/>
        <w:ind w:firstLine="720"/>
      </w:pPr>
      <w:r>
        <w:t>For these reasons, the zone tax offset does not impose differential treatment between states or parts of states. It treats all relevantly comparable taxpayers equally and non-co</w:t>
      </w:r>
      <w:r w:rsidR="005535C6">
        <w:t>mparable taxpayers differently.</w:t>
      </w:r>
    </w:p>
    <w:p w14:paraId="5CCA52AE" w14:textId="32E4A0E9" w:rsidR="004C79F4" w:rsidRPr="004C79F4" w:rsidRDefault="004C79F4" w:rsidP="003F2AA9">
      <w:pPr>
        <w:pStyle w:val="Heading2"/>
        <w:spacing w:line="480" w:lineRule="auto"/>
      </w:pPr>
      <w:bookmarkStart w:id="41" w:name="_Toc449554435"/>
      <w:r>
        <w:rPr>
          <w:i w:val="0"/>
        </w:rPr>
        <w:t xml:space="preserve">C </w:t>
      </w:r>
      <w:r>
        <w:t xml:space="preserve">Proper </w:t>
      </w:r>
      <w:r w:rsidR="00553302">
        <w:t>Objective</w:t>
      </w:r>
      <w:r w:rsidR="003B6486">
        <w:t>s</w:t>
      </w:r>
      <w:bookmarkEnd w:id="41"/>
    </w:p>
    <w:p w14:paraId="7E93084D" w14:textId="79907921" w:rsidR="00556015" w:rsidRDefault="00E45CB3" w:rsidP="003F2AA9">
      <w:pPr>
        <w:spacing w:line="480" w:lineRule="auto"/>
        <w:ind w:firstLine="720"/>
      </w:pPr>
      <w:r>
        <w:t>Only four Australian cases have considered the proper objective</w:t>
      </w:r>
      <w:r w:rsidR="00EE3914">
        <w:t>s</w:t>
      </w:r>
      <w:r>
        <w:t xml:space="preserve"> criterion in the context of taxation </w:t>
      </w:r>
      <w:r w:rsidR="00EE3914">
        <w:t>discrimination</w:t>
      </w:r>
      <w:r w:rsidR="00556015">
        <w:t xml:space="preserve">: </w:t>
      </w:r>
      <w:r w:rsidR="00556015">
        <w:rPr>
          <w:i/>
        </w:rPr>
        <w:t xml:space="preserve">Colonial, Moran, Permanent Trustee </w:t>
      </w:r>
      <w:r w:rsidR="00556015">
        <w:t xml:space="preserve">and </w:t>
      </w:r>
      <w:r w:rsidR="00556015">
        <w:rPr>
          <w:i/>
        </w:rPr>
        <w:t>Fortescue</w:t>
      </w:r>
      <w:r>
        <w:t xml:space="preserve">. </w:t>
      </w:r>
      <w:r w:rsidR="00556015">
        <w:t>However, the reasoning in those cases provides</w:t>
      </w:r>
      <w:r w:rsidR="00EE3914">
        <w:t xml:space="preserve"> </w:t>
      </w:r>
      <w:r w:rsidR="00556015">
        <w:t xml:space="preserve">no methodology </w:t>
      </w:r>
      <w:r w:rsidR="00C85E27">
        <w:t>for</w:t>
      </w:r>
      <w:r w:rsidR="00EE3914">
        <w:t xml:space="preserve"> determining whether the objectives of </w:t>
      </w:r>
      <w:r w:rsidR="00556015">
        <w:t>taxation laws</w:t>
      </w:r>
      <w:r w:rsidR="00EE3914">
        <w:t xml:space="preserve"> are </w:t>
      </w:r>
      <w:r w:rsidR="00EE3914" w:rsidRPr="00C70B78">
        <w:t xml:space="preserve">proper. </w:t>
      </w:r>
      <w:r w:rsidR="00C70B78" w:rsidRPr="00C70B78">
        <w:t xml:space="preserve">In the context of a different constitutional prohibition, the High Court has held that legislative objectives will be proper if they are compatible with the </w:t>
      </w:r>
      <w:r w:rsidR="005B695E">
        <w:t>objectives</w:t>
      </w:r>
      <w:r w:rsidR="00C70B78" w:rsidRPr="00C70B78">
        <w:t xml:space="preserve"> of the constitutional prohibition.</w:t>
      </w:r>
      <w:r w:rsidR="00C70B78" w:rsidRPr="00C70B78">
        <w:rPr>
          <w:rStyle w:val="FootnoteReference"/>
        </w:rPr>
        <w:footnoteReference w:id="157"/>
      </w:r>
      <w:r w:rsidR="00C70B78">
        <w:t xml:space="preserve"> By parity of reasoning, it seems that when seeking to determine whether </w:t>
      </w:r>
      <w:r w:rsidR="00C85E27">
        <w:t>a taxation law has</w:t>
      </w:r>
      <w:r w:rsidR="00C70B78">
        <w:t xml:space="preserve"> proper objectives, the Court would engage in the normal process of statutory construction of the law and then determine whether </w:t>
      </w:r>
      <w:r w:rsidR="00C85E27">
        <w:t>its objectives</w:t>
      </w:r>
      <w:r w:rsidR="00C70B78">
        <w:t xml:space="preserve"> are compatible with the </w:t>
      </w:r>
      <w:r w:rsidR="005B695E">
        <w:t>objectives</w:t>
      </w:r>
      <w:r w:rsidR="00C70B78">
        <w:t xml:space="preserve"> of </w:t>
      </w:r>
      <w:r w:rsidR="00C85E27">
        <w:t xml:space="preserve">the </w:t>
      </w:r>
      <w:r w:rsidR="00C70B78">
        <w:t>section 51(ii) discrimination prohibition.</w:t>
      </w:r>
    </w:p>
    <w:p w14:paraId="4C3D91C4" w14:textId="05E86B18" w:rsidR="004E00F3" w:rsidRDefault="004E00F3" w:rsidP="003F2AA9">
      <w:pPr>
        <w:spacing w:line="480" w:lineRule="auto"/>
      </w:pPr>
      <w:r>
        <w:tab/>
      </w:r>
      <w:r w:rsidR="00333353">
        <w:t xml:space="preserve">To this end, </w:t>
      </w:r>
      <w:r>
        <w:t xml:space="preserve">French CJ in </w:t>
      </w:r>
      <w:r>
        <w:rPr>
          <w:i/>
        </w:rPr>
        <w:t xml:space="preserve">Fortescue </w:t>
      </w:r>
      <w:r>
        <w:t>succinctly outlined</w:t>
      </w:r>
      <w:r w:rsidR="00795D9B">
        <w:t xml:space="preserve"> the </w:t>
      </w:r>
      <w:r w:rsidR="005B695E">
        <w:t>objectives</w:t>
      </w:r>
      <w:r w:rsidR="00795D9B">
        <w:t xml:space="preserve"> of the section </w:t>
      </w:r>
      <w:r>
        <w:t xml:space="preserve">51(ii) discrimination prohibition. His Honour held that </w:t>
      </w:r>
      <w:r w:rsidR="005C6F9D">
        <w:t>section 51(ii)</w:t>
      </w:r>
      <w:r>
        <w:t xml:space="preserve"> ‘protect[s] the formal equality in the Federation of the States inter se and their people, and the economic union which came into existence upon the creation of the Commonwealth’</w:t>
      </w:r>
      <w:r>
        <w:rPr>
          <w:rStyle w:val="FootnoteReference"/>
        </w:rPr>
        <w:footnoteReference w:id="158"/>
      </w:r>
      <w:r>
        <w:t xml:space="preserve"> and prohibits ‘laws which make distinctions between States or parts of States which are inconsistent with </w:t>
      </w:r>
      <w:r>
        <w:lastRenderedPageBreak/>
        <w:t>the economic unity of the Commonwealth and the status of the States and their people as equals inter se in the Federation.’</w:t>
      </w:r>
      <w:r>
        <w:rPr>
          <w:rStyle w:val="FootnoteReference"/>
        </w:rPr>
        <w:footnoteReference w:id="159"/>
      </w:r>
      <w:r>
        <w:t xml:space="preserve"> Yet despite setting out this general principle, French CJ did not expressly apply it to the facts. </w:t>
      </w:r>
    </w:p>
    <w:p w14:paraId="665F8004" w14:textId="1BC1BE2F" w:rsidR="004E00F3" w:rsidRDefault="004E00F3" w:rsidP="003F2AA9">
      <w:pPr>
        <w:spacing w:line="480" w:lineRule="auto"/>
        <w:ind w:firstLine="720"/>
      </w:pPr>
      <w:r>
        <w:t>Instead, his Honour merely recited the objective</w:t>
      </w:r>
      <w:r w:rsidR="00187932">
        <w:t>s</w:t>
      </w:r>
      <w:r>
        <w:t xml:space="preserve"> section of the MRRT legislation, which referred to ensuring the Australian community received an adequate return on its taxable resources by taxing above normal profits </w:t>
      </w:r>
      <w:r w:rsidR="00257EF8">
        <w:t>taking into account</w:t>
      </w:r>
      <w:r>
        <w:t xml:space="preserve"> the extent to which they </w:t>
      </w:r>
      <w:r w:rsidR="00752FFE">
        <w:t>were</w:t>
      </w:r>
      <w:r>
        <w:t xml:space="preserve"> otherwise subject to taxation, and then assert</w:t>
      </w:r>
      <w:r w:rsidR="00187932">
        <w:t>ed</w:t>
      </w:r>
      <w:r>
        <w:t xml:space="preserve"> that </w:t>
      </w:r>
      <w:r w:rsidR="00257EF8">
        <w:t>this</w:t>
      </w:r>
      <w:r>
        <w:t xml:space="preserve"> objective </w:t>
      </w:r>
      <w:r w:rsidR="00257EF8">
        <w:t>was</w:t>
      </w:r>
      <w:r>
        <w:t xml:space="preserve"> proper.</w:t>
      </w:r>
      <w:r>
        <w:rPr>
          <w:rStyle w:val="FootnoteReference"/>
        </w:rPr>
        <w:footnoteReference w:id="160"/>
      </w:r>
      <w:r>
        <w:t xml:space="preserve"> Put simply, the objective was ensuring an appropriate level of taxation. </w:t>
      </w:r>
      <w:r w:rsidR="00347473">
        <w:t>French CJ’s</w:t>
      </w:r>
      <w:r>
        <w:t xml:space="preserve"> reasoning did not articulate </w:t>
      </w:r>
      <w:r>
        <w:rPr>
          <w:i/>
        </w:rPr>
        <w:t xml:space="preserve">why </w:t>
      </w:r>
      <w:r>
        <w:t>that objective was proper</w:t>
      </w:r>
      <w:r w:rsidR="00752FFE">
        <w:t xml:space="preserve">, </w:t>
      </w:r>
      <w:r w:rsidR="00451A09">
        <w:t>in particular</w:t>
      </w:r>
      <w:r w:rsidR="00752FFE">
        <w:t xml:space="preserve">, </w:t>
      </w:r>
      <w:r w:rsidR="00752FFE" w:rsidRPr="00257EF8">
        <w:t>why</w:t>
      </w:r>
      <w:r w:rsidR="00752FFE">
        <w:rPr>
          <w:i/>
        </w:rPr>
        <w:t xml:space="preserve"> </w:t>
      </w:r>
      <w:r w:rsidR="00752FFE">
        <w:t>that objective was compatible and consistent with the Australian economic union and equality of the states and their peoples</w:t>
      </w:r>
      <w:r>
        <w:t>. This lacuna has been described as ‘[s]omewhat strange’.</w:t>
      </w:r>
      <w:r>
        <w:rPr>
          <w:rStyle w:val="FootnoteReference"/>
        </w:rPr>
        <w:footnoteReference w:id="161"/>
      </w:r>
      <w:r>
        <w:t xml:space="preserve"> Interestingly, Kiefel J indicated that the objectives section provided little assistance in the proper construction of the MRRT legislation, markedly noting that the term ‘above normal profits’ was not defined.</w:t>
      </w:r>
      <w:r>
        <w:rPr>
          <w:rStyle w:val="FootnoteReference"/>
        </w:rPr>
        <w:footnoteReference w:id="162"/>
      </w:r>
    </w:p>
    <w:p w14:paraId="0E728E38" w14:textId="40612101" w:rsidR="00BC4EEE" w:rsidRPr="00661E95" w:rsidRDefault="00C85E27" w:rsidP="003F2AA9">
      <w:pPr>
        <w:spacing w:line="480" w:lineRule="auto"/>
      </w:pPr>
      <w:r>
        <w:tab/>
      </w:r>
      <w:r w:rsidR="00D24573">
        <w:t>Earlier decisions of the courts on the proper objectives criterion provide an insight into the range of objectives that will be compatible with section 51(ii).</w:t>
      </w:r>
      <w:r w:rsidR="007E38F9">
        <w:rPr>
          <w:rStyle w:val="FootnoteReference"/>
        </w:rPr>
        <w:footnoteReference w:id="163"/>
      </w:r>
      <w:r w:rsidR="00D24573">
        <w:t xml:space="preserve"> </w:t>
      </w:r>
      <w:r w:rsidR="002F360A" w:rsidRPr="002F360A">
        <w:t xml:space="preserve">In </w:t>
      </w:r>
      <w:r w:rsidR="002F360A" w:rsidRPr="002F360A">
        <w:rPr>
          <w:i/>
        </w:rPr>
        <w:t>Colonial</w:t>
      </w:r>
      <w:r w:rsidR="002F360A" w:rsidRPr="002F360A">
        <w:t>,</w:t>
      </w:r>
      <w:r w:rsidR="002F360A" w:rsidRPr="002F360A">
        <w:rPr>
          <w:i/>
        </w:rPr>
        <w:t xml:space="preserve"> </w:t>
      </w:r>
      <w:r w:rsidR="00795D9B">
        <w:t xml:space="preserve">both </w:t>
      </w:r>
      <w:r w:rsidR="002F360A" w:rsidRPr="002F360A">
        <w:t xml:space="preserve">courts held that avoiding cumulative or double taxation </w:t>
      </w:r>
      <w:r w:rsidR="005D3EAB">
        <w:t>was</w:t>
      </w:r>
      <w:r w:rsidR="002F360A" w:rsidRPr="002F360A">
        <w:t xml:space="preserve"> a proper objective.</w:t>
      </w:r>
      <w:r w:rsidR="002F360A">
        <w:rPr>
          <w:rStyle w:val="FootnoteReference"/>
        </w:rPr>
        <w:footnoteReference w:id="164"/>
      </w:r>
      <w:r w:rsidR="002F360A" w:rsidRPr="002F360A">
        <w:t xml:space="preserve"> In </w:t>
      </w:r>
      <w:r w:rsidR="002F360A" w:rsidRPr="002F360A">
        <w:rPr>
          <w:i/>
        </w:rPr>
        <w:t>Moran</w:t>
      </w:r>
      <w:r w:rsidR="002F360A" w:rsidRPr="002F360A">
        <w:t>, the Privy Council held that the objective of equalising the burden of taxation throughout Australia was a proper objective.</w:t>
      </w:r>
      <w:r w:rsidR="002F360A">
        <w:rPr>
          <w:rStyle w:val="FootnoteReference"/>
        </w:rPr>
        <w:footnoteReference w:id="165"/>
      </w:r>
      <w:r w:rsidR="005D3EAB">
        <w:t xml:space="preserve"> </w:t>
      </w:r>
      <w:r w:rsidR="00943838">
        <w:t xml:space="preserve">In </w:t>
      </w:r>
      <w:r w:rsidR="00943838">
        <w:rPr>
          <w:i/>
        </w:rPr>
        <w:t>Permanent Trustee</w:t>
      </w:r>
      <w:r w:rsidR="00943838">
        <w:t xml:space="preserve">, a </w:t>
      </w:r>
      <w:r w:rsidR="00BC4EEE">
        <w:t xml:space="preserve">joint </w:t>
      </w:r>
      <w:r w:rsidR="00943838">
        <w:t>majority of the High Court held that Commonwea</w:t>
      </w:r>
      <w:r w:rsidR="00BC4EEE">
        <w:t xml:space="preserve">lth mirror taxation legislation, which </w:t>
      </w:r>
      <w:r w:rsidR="00943838">
        <w:t>effectively applied the tax</w:t>
      </w:r>
      <w:r w:rsidR="00BC4EEE">
        <w:t>ation</w:t>
      </w:r>
      <w:r w:rsidR="00943838">
        <w:t xml:space="preserve"> </w:t>
      </w:r>
      <w:r w:rsidR="00943838">
        <w:lastRenderedPageBreak/>
        <w:t xml:space="preserve">legislation of each state to any Commonwealth places within </w:t>
      </w:r>
      <w:r w:rsidR="00993A19">
        <w:t>that</w:t>
      </w:r>
      <w:r w:rsidR="00943838">
        <w:t xml:space="preserve"> state</w:t>
      </w:r>
      <w:r w:rsidR="00BC4EEE">
        <w:t>,</w:t>
      </w:r>
      <w:r w:rsidR="00BC4EEE">
        <w:rPr>
          <w:rStyle w:val="FootnoteReference"/>
        </w:rPr>
        <w:footnoteReference w:id="166"/>
      </w:r>
      <w:r w:rsidR="00943838">
        <w:t xml:space="preserve"> did not breach the prohibition on preferences </w:t>
      </w:r>
      <w:r w:rsidR="00993A19">
        <w:t xml:space="preserve">between parts of states </w:t>
      </w:r>
      <w:r w:rsidR="005D3EAB">
        <w:t>in section </w:t>
      </w:r>
      <w:r w:rsidR="00943838">
        <w:t>99</w:t>
      </w:r>
      <w:r w:rsidR="00BC4EEE">
        <w:t xml:space="preserve"> because </w:t>
      </w:r>
      <w:r w:rsidR="00685FE2">
        <w:t>the</w:t>
      </w:r>
      <w:r w:rsidR="00BC4EEE">
        <w:t xml:space="preserve"> differential treatment </w:t>
      </w:r>
      <w:r w:rsidR="003F476C">
        <w:t>the</w:t>
      </w:r>
      <w:r w:rsidR="00BC4EEE">
        <w:t xml:space="preserve"> legislation imposed </w:t>
      </w:r>
      <w:r w:rsidR="00685FE2">
        <w:t xml:space="preserve">on Commonwealth </w:t>
      </w:r>
      <w:r w:rsidR="005D3EAB">
        <w:t>places</w:t>
      </w:r>
      <w:r w:rsidR="00685FE2">
        <w:t xml:space="preserve"> i</w:t>
      </w:r>
      <w:r w:rsidR="00FE766D">
        <w:t xml:space="preserve">n each state compared with those in the other states </w:t>
      </w:r>
      <w:r w:rsidR="00BC4EEE">
        <w:t>was appropriate and adapted to a proper objective</w:t>
      </w:r>
      <w:r w:rsidR="00943838">
        <w:t>.</w:t>
      </w:r>
      <w:r w:rsidR="00BC4EEE">
        <w:rPr>
          <w:rStyle w:val="FootnoteReference"/>
        </w:rPr>
        <w:footnoteReference w:id="167"/>
      </w:r>
      <w:r w:rsidR="0056675F">
        <w:t xml:space="preserve"> </w:t>
      </w:r>
      <w:r w:rsidR="00BC4EEE">
        <w:t xml:space="preserve">Their Honours </w:t>
      </w:r>
      <w:r w:rsidR="00685FE2">
        <w:t>apparently considered</w:t>
      </w:r>
      <w:r w:rsidR="00BC4EEE">
        <w:t xml:space="preserve"> the proper objective of the mirror taxation legislation to be the assimilation of </w:t>
      </w:r>
      <w:r w:rsidR="00661E95">
        <w:t xml:space="preserve">taxation laws that apply in Commonwealth </w:t>
      </w:r>
      <w:r w:rsidR="005D3EAB">
        <w:t>places</w:t>
      </w:r>
      <w:r w:rsidR="00661E95">
        <w:t xml:space="preserve"> with those that apply in the surrounding state. </w:t>
      </w:r>
      <w:r w:rsidR="001A2293">
        <w:t xml:space="preserve">Put simply, the objective was consistency. </w:t>
      </w:r>
      <w:r w:rsidR="00661E95">
        <w:t xml:space="preserve">However, </w:t>
      </w:r>
      <w:r w:rsidR="005D3EAB">
        <w:t xml:space="preserve">in none of </w:t>
      </w:r>
      <w:r w:rsidR="00507F5E">
        <w:rPr>
          <w:i/>
        </w:rPr>
        <w:t>Colonial</w:t>
      </w:r>
      <w:r w:rsidR="00507F5E">
        <w:t xml:space="preserve">, </w:t>
      </w:r>
      <w:r w:rsidR="00507F5E">
        <w:rPr>
          <w:i/>
        </w:rPr>
        <w:t>Moran</w:t>
      </w:r>
      <w:r w:rsidR="00507F5E">
        <w:t xml:space="preserve"> or </w:t>
      </w:r>
      <w:r w:rsidR="00507F5E">
        <w:rPr>
          <w:i/>
        </w:rPr>
        <w:t>Permanent Trustee</w:t>
      </w:r>
      <w:r w:rsidR="005D3EAB">
        <w:t xml:space="preserve"> did the courts </w:t>
      </w:r>
      <w:r w:rsidR="00755C84">
        <w:t>articulate</w:t>
      </w:r>
      <w:r w:rsidR="00661E95">
        <w:t xml:space="preserve"> </w:t>
      </w:r>
      <w:r w:rsidR="00661E95">
        <w:rPr>
          <w:i/>
        </w:rPr>
        <w:t>why</w:t>
      </w:r>
      <w:r w:rsidR="00661E95">
        <w:t xml:space="preserve"> </w:t>
      </w:r>
      <w:r w:rsidR="005D3EAB">
        <w:t>the relevant</w:t>
      </w:r>
      <w:r w:rsidR="00661E95">
        <w:t xml:space="preserve"> objective was proper</w:t>
      </w:r>
      <w:r w:rsidR="00810789">
        <w:t xml:space="preserve"> beyond </w:t>
      </w:r>
      <w:r w:rsidR="00755C84">
        <w:t>simply asserting</w:t>
      </w:r>
      <w:r w:rsidR="00810789">
        <w:t xml:space="preserve"> that </w:t>
      </w:r>
      <w:r w:rsidR="00755C84">
        <w:t>it was</w:t>
      </w:r>
      <w:r w:rsidR="00661E95">
        <w:t>.</w:t>
      </w:r>
    </w:p>
    <w:p w14:paraId="2B382617" w14:textId="73DB4331" w:rsidR="000F5910" w:rsidRPr="005F0B19" w:rsidRDefault="00F43906" w:rsidP="003F2AA9">
      <w:pPr>
        <w:spacing w:line="480" w:lineRule="auto"/>
      </w:pPr>
      <w:r>
        <w:tab/>
      </w:r>
      <w:r w:rsidR="0020553E">
        <w:t>In terms of identifying the objective of the zone tax offset</w:t>
      </w:r>
      <w:r>
        <w:t xml:space="preserve">, </w:t>
      </w:r>
      <w:r w:rsidR="0020553E">
        <w:t xml:space="preserve">section 79A </w:t>
      </w:r>
      <w:r w:rsidR="000F5910">
        <w:t xml:space="preserve">as enacted was unusual in that it contained an express statement of </w:t>
      </w:r>
      <w:r w:rsidR="00993A19">
        <w:t xml:space="preserve">its </w:t>
      </w:r>
      <w:r w:rsidR="00DB26C5">
        <w:t>objective</w:t>
      </w:r>
      <w:r w:rsidR="000F5910">
        <w:t>. These words have remained unaltered since 1945 and provide that the zone tax offset exists:</w:t>
      </w:r>
    </w:p>
    <w:p w14:paraId="1754EE62" w14:textId="77777777" w:rsidR="000F5910" w:rsidRPr="00E85F41" w:rsidRDefault="000F5910" w:rsidP="000F5910">
      <w:pPr>
        <w:ind w:left="720"/>
        <w:rPr>
          <w:sz w:val="20"/>
        </w:rPr>
      </w:pPr>
      <w:r w:rsidRPr="00E85F41">
        <w:rPr>
          <w:sz w:val="20"/>
        </w:rPr>
        <w:t xml:space="preserve">For the purpose of granting to residents of the prescribed area an income tax concession </w:t>
      </w:r>
      <w:r w:rsidRPr="00CE074B">
        <w:rPr>
          <w:i/>
          <w:sz w:val="20"/>
        </w:rPr>
        <w:t>in recognition of the disadvantages to which they are subject because of the uncongenial climatic conditions, isolation and high cost of living</w:t>
      </w:r>
      <w:r w:rsidRPr="00E85F41">
        <w:rPr>
          <w:sz w:val="20"/>
        </w:rPr>
        <w:t xml:space="preserve"> in Zone A and, to a lesser extent, in Zone B, in comparison with parts of Australia not included in the prescribed area</w:t>
      </w:r>
      <w:r>
        <w:rPr>
          <w:sz w:val="20"/>
        </w:rPr>
        <w:t xml:space="preserve"> …</w:t>
      </w:r>
      <w:r>
        <w:rPr>
          <w:rStyle w:val="FootnoteReference"/>
          <w:sz w:val="20"/>
        </w:rPr>
        <w:footnoteReference w:id="168"/>
      </w:r>
    </w:p>
    <w:p w14:paraId="3049E8BD" w14:textId="77777777" w:rsidR="000F5910" w:rsidRDefault="000F5910" w:rsidP="000F5910"/>
    <w:p w14:paraId="19BE23C1" w14:textId="693C006C" w:rsidR="0099208C" w:rsidRDefault="0020553E" w:rsidP="008E4B6C">
      <w:pPr>
        <w:spacing w:line="480" w:lineRule="auto"/>
      </w:pPr>
      <w:r>
        <w:t xml:space="preserve">While </w:t>
      </w:r>
      <w:r w:rsidR="002C5104">
        <w:t xml:space="preserve">such </w:t>
      </w:r>
      <w:r w:rsidR="00726375">
        <w:t xml:space="preserve">legislative objectives </w:t>
      </w:r>
      <w:r w:rsidR="002C5104">
        <w:t>statements</w:t>
      </w:r>
      <w:r>
        <w:t xml:space="preserve"> are </w:t>
      </w:r>
      <w:r w:rsidR="00E45CB3">
        <w:t xml:space="preserve">only </w:t>
      </w:r>
      <w:r>
        <w:t xml:space="preserve">relevant </w:t>
      </w:r>
      <w:r w:rsidR="001751AD">
        <w:t>(</w:t>
      </w:r>
      <w:r w:rsidR="0099208C">
        <w:t>not conclusive</w:t>
      </w:r>
      <w:r w:rsidR="001751AD">
        <w:t>)</w:t>
      </w:r>
      <w:r w:rsidR="0099208C">
        <w:t xml:space="preserve"> in determining the objectives of legislation</w:t>
      </w:r>
      <w:r>
        <w:t>,</w:t>
      </w:r>
      <w:r>
        <w:rPr>
          <w:rStyle w:val="FootnoteReference"/>
        </w:rPr>
        <w:footnoteReference w:id="169"/>
      </w:r>
      <w:r w:rsidR="0099208C">
        <w:t xml:space="preserve"> </w:t>
      </w:r>
      <w:r w:rsidR="00993A19">
        <w:t>this</w:t>
      </w:r>
      <w:r w:rsidR="0099208C">
        <w:t xml:space="preserve"> </w:t>
      </w:r>
      <w:r w:rsidR="005C6F9D">
        <w:t xml:space="preserve">particular </w:t>
      </w:r>
      <w:r w:rsidR="002C5104">
        <w:t>statement</w:t>
      </w:r>
      <w:r w:rsidR="0099208C">
        <w:t xml:space="preserve"> is supported by extrinsic materials</w:t>
      </w:r>
      <w:r w:rsidR="00544755">
        <w:t xml:space="preserve"> and judicial acceptance</w:t>
      </w:r>
      <w:r w:rsidR="0099208C">
        <w:t xml:space="preserve">. </w:t>
      </w:r>
    </w:p>
    <w:p w14:paraId="2C26E417" w14:textId="27AD088D" w:rsidR="00F43906" w:rsidRDefault="000F5910" w:rsidP="008E4B6C">
      <w:pPr>
        <w:spacing w:line="480" w:lineRule="auto"/>
        <w:ind w:firstLine="720"/>
      </w:pPr>
      <w:r>
        <w:t xml:space="preserve">The Explanatory Memorandum to the amending Bill that inserted section 79A elaborated on this </w:t>
      </w:r>
      <w:r w:rsidR="0099208C">
        <w:t>objective</w:t>
      </w:r>
      <w:r w:rsidR="002466F1">
        <w:t xml:space="preserve"> and, along with the second reading speech, </w:t>
      </w:r>
      <w:r>
        <w:t xml:space="preserve">provided an additional one. </w:t>
      </w:r>
      <w:r w:rsidR="00993A19">
        <w:t>Both</w:t>
      </w:r>
      <w:r>
        <w:t xml:space="preserve"> recognised that, while employees in remote areas were often paid special allowances, those allowances were taxable and, due to the prevailing high marginal rates of </w:t>
      </w:r>
      <w:r>
        <w:lastRenderedPageBreak/>
        <w:t>personal income tax, significant parts of such allowances were absorbed by tax.</w:t>
      </w:r>
      <w:r>
        <w:rPr>
          <w:rStyle w:val="FootnoteReference"/>
        </w:rPr>
        <w:footnoteReference w:id="170"/>
      </w:r>
      <w:r>
        <w:t xml:space="preserve"> According to the Memorandum, section 79A would remedy this and thereby fulfil the </w:t>
      </w:r>
      <w:r>
        <w:rPr>
          <w:i/>
        </w:rPr>
        <w:t>dual</w:t>
      </w:r>
      <w:r>
        <w:t xml:space="preserve"> </w:t>
      </w:r>
      <w:r w:rsidR="0099208C">
        <w:t>objectives</w:t>
      </w:r>
      <w:r>
        <w:t xml:space="preserve"> of encouraging settlement of remote areas (including post war development) and compensating the residents of such areas for the disabilities of isolation, high costs of living and uncongenial climatic conditions.</w:t>
      </w:r>
      <w:r w:rsidR="0099208C">
        <w:t xml:space="preserve"> </w:t>
      </w:r>
      <w:r w:rsidR="002466F1">
        <w:t>Seventy years later, t</w:t>
      </w:r>
      <w:r w:rsidR="0099208C">
        <w:t xml:space="preserve">his latter objective was </w:t>
      </w:r>
      <w:r w:rsidR="002466F1">
        <w:t xml:space="preserve">again </w:t>
      </w:r>
      <w:r w:rsidR="0099208C">
        <w:t>emphasised in the extrinsic materials related to the latest Bill that amended section 79A.</w:t>
      </w:r>
      <w:r w:rsidR="0099208C">
        <w:rPr>
          <w:rStyle w:val="FootnoteReference"/>
        </w:rPr>
        <w:footnoteReference w:id="171"/>
      </w:r>
    </w:p>
    <w:p w14:paraId="267C34BA" w14:textId="64E93602" w:rsidR="000F5910" w:rsidRDefault="00553829" w:rsidP="008E4B6C">
      <w:pPr>
        <w:spacing w:line="480" w:lineRule="auto"/>
      </w:pPr>
      <w:r>
        <w:tab/>
      </w:r>
      <w:r w:rsidR="000B1AC5">
        <w:t>Moreover</w:t>
      </w:r>
      <w:r w:rsidR="002466F1">
        <w:t>,</w:t>
      </w:r>
      <w:r w:rsidR="00993A19">
        <w:t xml:space="preserve"> </w:t>
      </w:r>
      <w:r w:rsidR="001174CB">
        <w:t>i</w:t>
      </w:r>
      <w:r w:rsidR="000F5910">
        <w:t xml:space="preserve">n </w:t>
      </w:r>
      <w:r w:rsidR="000F5910">
        <w:rPr>
          <w:i/>
        </w:rPr>
        <w:t>Clyne</w:t>
      </w:r>
      <w:r w:rsidR="000F5910">
        <w:t>, Webb J took judicial notice of the disadvantages suffered by remote areas</w:t>
      </w:r>
      <w:r w:rsidR="002C5104">
        <w:t xml:space="preserve"> not</w:t>
      </w:r>
      <w:r w:rsidR="0097153D">
        <w:t>ing that the concessions granted by section 79A</w:t>
      </w:r>
    </w:p>
    <w:p w14:paraId="38C56826" w14:textId="6F3F9E92" w:rsidR="000F5910" w:rsidRPr="00AF6928" w:rsidRDefault="000F5910" w:rsidP="000F5910">
      <w:pPr>
        <w:ind w:left="720"/>
        <w:rPr>
          <w:sz w:val="20"/>
          <w:szCs w:val="20"/>
        </w:rPr>
      </w:pPr>
      <w:r w:rsidRPr="00AF6928">
        <w:rPr>
          <w:sz w:val="20"/>
          <w:szCs w:val="20"/>
        </w:rPr>
        <w:t xml:space="preserve">are expressed </w:t>
      </w:r>
      <w:r w:rsidR="0097153D">
        <w:rPr>
          <w:sz w:val="20"/>
          <w:szCs w:val="20"/>
        </w:rPr>
        <w:t>…</w:t>
      </w:r>
      <w:r w:rsidRPr="00AF6928">
        <w:rPr>
          <w:sz w:val="20"/>
          <w:szCs w:val="20"/>
        </w:rPr>
        <w:t xml:space="preserve"> to be in recognition of the disadvantages to which those residents are subject because of the </w:t>
      </w:r>
      <w:r>
        <w:rPr>
          <w:sz w:val="20"/>
          <w:szCs w:val="20"/>
        </w:rPr>
        <w:t>‘</w:t>
      </w:r>
      <w:r w:rsidRPr="00AF6928">
        <w:rPr>
          <w:sz w:val="20"/>
          <w:szCs w:val="20"/>
        </w:rPr>
        <w:t>uncongenial climatic conditions, isolation and high cost of living</w:t>
      </w:r>
      <w:r>
        <w:rPr>
          <w:sz w:val="20"/>
          <w:szCs w:val="20"/>
        </w:rPr>
        <w:t>’</w:t>
      </w:r>
      <w:r w:rsidRPr="00AF6928">
        <w:rPr>
          <w:sz w:val="20"/>
          <w:szCs w:val="20"/>
        </w:rPr>
        <w:t xml:space="preserve"> in those areas in comparison with other parts of Australia, and such disadvantages can, I think, be judicially noticed as existing in those areas.</w:t>
      </w:r>
      <w:r>
        <w:rPr>
          <w:rStyle w:val="FootnoteReference"/>
          <w:sz w:val="20"/>
          <w:szCs w:val="20"/>
        </w:rPr>
        <w:footnoteReference w:id="172"/>
      </w:r>
    </w:p>
    <w:p w14:paraId="08393BF8" w14:textId="77777777" w:rsidR="000F5910" w:rsidRDefault="000F5910" w:rsidP="000F5910"/>
    <w:p w14:paraId="3FC6C976" w14:textId="050C6B31" w:rsidR="0099208C" w:rsidRDefault="000B1AC5" w:rsidP="008E4B6C">
      <w:pPr>
        <w:spacing w:line="480" w:lineRule="auto"/>
      </w:pPr>
      <w:r>
        <w:t xml:space="preserve">In light of this </w:t>
      </w:r>
      <w:r w:rsidR="0097153D">
        <w:t xml:space="preserve">effective </w:t>
      </w:r>
      <w:r w:rsidR="004D4C21">
        <w:t>acceptance</w:t>
      </w:r>
      <w:r w:rsidR="0097153D">
        <w:t xml:space="preserve"> of the legislative </w:t>
      </w:r>
      <w:r w:rsidR="002C5104">
        <w:t>statement</w:t>
      </w:r>
      <w:r w:rsidR="0097153D">
        <w:t xml:space="preserve"> of object</w:t>
      </w:r>
      <w:r w:rsidR="002C5104">
        <w:t>ives</w:t>
      </w:r>
      <w:r>
        <w:t xml:space="preserve">, the long history of </w:t>
      </w:r>
      <w:r w:rsidR="00614EFB">
        <w:t>that</w:t>
      </w:r>
      <w:r>
        <w:t xml:space="preserve"> </w:t>
      </w:r>
      <w:r w:rsidR="00614EFB">
        <w:t>(</w:t>
      </w:r>
      <w:r>
        <w:t>unaltered</w:t>
      </w:r>
      <w:r w:rsidR="00614EFB">
        <w:t>)</w:t>
      </w:r>
      <w:r>
        <w:t xml:space="preserve"> </w:t>
      </w:r>
      <w:r w:rsidR="002C5104">
        <w:t>statement</w:t>
      </w:r>
      <w:r>
        <w:t xml:space="preserve"> and the consistency between that </w:t>
      </w:r>
      <w:r w:rsidR="002C5104">
        <w:t>statement</w:t>
      </w:r>
      <w:r>
        <w:t xml:space="preserve"> and the object</w:t>
      </w:r>
      <w:r w:rsidR="002C5104">
        <w:t>ive</w:t>
      </w:r>
      <w:r>
        <w:t xml:space="preserve">s expressed in the extrinsic materials, </w:t>
      </w:r>
      <w:r w:rsidR="00993A19">
        <w:t>i</w:t>
      </w:r>
      <w:r>
        <w:t>t</w:t>
      </w:r>
      <w:r w:rsidR="00993A19">
        <w:t xml:space="preserve"> is reasonable to conclude that</w:t>
      </w:r>
      <w:r>
        <w:t xml:space="preserve"> the dual objectives of the zone tax offset </w:t>
      </w:r>
      <w:r w:rsidR="00993A19">
        <w:t>are</w:t>
      </w:r>
      <w:r>
        <w:t xml:space="preserve"> </w:t>
      </w:r>
      <w:r w:rsidR="004D4C21">
        <w:t xml:space="preserve">encouraging </w:t>
      </w:r>
      <w:r>
        <w:t xml:space="preserve">development </w:t>
      </w:r>
      <w:r w:rsidR="004D4C21">
        <w:t>of remote areas and compensating</w:t>
      </w:r>
      <w:r>
        <w:t xml:space="preserve"> residents living there.</w:t>
      </w:r>
    </w:p>
    <w:p w14:paraId="7AFB3067" w14:textId="5F9CBFAC" w:rsidR="00A22046" w:rsidRDefault="000B1AC5" w:rsidP="008E4B6C">
      <w:pPr>
        <w:spacing w:line="480" w:lineRule="auto"/>
      </w:pPr>
      <w:r>
        <w:tab/>
      </w:r>
      <w:r w:rsidRPr="008D6F71">
        <w:t>Having determined the objectives of the zone tax offset, the next step is to determine whether those objectives are proper</w:t>
      </w:r>
      <w:r w:rsidR="005B695E" w:rsidRPr="008D6F71">
        <w:t>, in the sense of being compatible with the objectives of se</w:t>
      </w:r>
      <w:r w:rsidR="00495758" w:rsidRPr="008D6F71">
        <w:t xml:space="preserve">ction 51(ii) </w:t>
      </w:r>
      <w:r w:rsidR="002C5104" w:rsidRPr="008D6F71">
        <w:t xml:space="preserve">(namely, </w:t>
      </w:r>
      <w:r w:rsidR="008D6F71">
        <w:t>protection</w:t>
      </w:r>
      <w:r w:rsidR="002C5104" w:rsidRPr="008D6F71">
        <w:t xml:space="preserve"> of the Australian economic union and equality of the states and their peoples). </w:t>
      </w:r>
      <w:r w:rsidR="008D6F71" w:rsidRPr="008D6F71">
        <w:t xml:space="preserve">This is difficult because the High Court has </w:t>
      </w:r>
      <w:r w:rsidR="008D6F71">
        <w:t xml:space="preserve">rejected the existence of a constitutional doctrine of </w:t>
      </w:r>
      <w:r w:rsidR="008D6F71" w:rsidRPr="00947466">
        <w:t>equality,</w:t>
      </w:r>
      <w:r w:rsidR="008D6F71" w:rsidRPr="00947466">
        <w:rPr>
          <w:rStyle w:val="FootnoteReference"/>
        </w:rPr>
        <w:footnoteReference w:id="173"/>
      </w:r>
      <w:r w:rsidR="008D6F71" w:rsidRPr="00947466">
        <w:t xml:space="preserve"> has </w:t>
      </w:r>
      <w:r w:rsidR="00A22046" w:rsidRPr="00947466">
        <w:t xml:space="preserve">‘fail[ed] to clarify and to develop the concept of an </w:t>
      </w:r>
      <w:r w:rsidR="00A22046" w:rsidRPr="00947466">
        <w:lastRenderedPageBreak/>
        <w:t>economic union’,</w:t>
      </w:r>
      <w:bookmarkStart w:id="42" w:name="_Ref449553670"/>
      <w:r w:rsidR="00A22046" w:rsidRPr="00947466">
        <w:rPr>
          <w:rStyle w:val="FootnoteReference"/>
        </w:rPr>
        <w:footnoteReference w:id="174"/>
      </w:r>
      <w:bookmarkEnd w:id="42"/>
      <w:r w:rsidR="00A22046" w:rsidRPr="00947466">
        <w:t xml:space="preserve"> </w:t>
      </w:r>
      <w:r w:rsidR="00947466">
        <w:t xml:space="preserve">and </w:t>
      </w:r>
      <w:r w:rsidR="00A22046" w:rsidRPr="00947466">
        <w:t>has ‘not developed a coherent theory of federalism, … nor articulated substantial federal principles, or fashioned an interpretat</w:t>
      </w:r>
      <w:r w:rsidR="0064505B" w:rsidRPr="00947466">
        <w:t>ive method suited to federalism</w:t>
      </w:r>
      <w:r w:rsidR="008D6F71" w:rsidRPr="00947466">
        <w:t>.</w:t>
      </w:r>
      <w:r w:rsidR="00A22046" w:rsidRPr="00947466">
        <w:t>’</w:t>
      </w:r>
      <w:r w:rsidR="009E032B" w:rsidRPr="00947466">
        <w:rPr>
          <w:rStyle w:val="FootnoteReference"/>
        </w:rPr>
        <w:footnoteReference w:id="175"/>
      </w:r>
      <w:r w:rsidR="008D6F71" w:rsidRPr="00947466">
        <w:t xml:space="preserve"> </w:t>
      </w:r>
      <w:r w:rsidR="00184324">
        <w:t xml:space="preserve">However, this doctrinal void has been addressed to some extent by academic writings. Professor Saunders </w:t>
      </w:r>
      <w:r w:rsidR="00474B95">
        <w:t>emphasised</w:t>
      </w:r>
      <w:r w:rsidR="00E174E0">
        <w:t xml:space="preserve"> that </w:t>
      </w:r>
      <w:r w:rsidR="00184324">
        <w:t>sophisticated understandings of equality include both formal equality of opportunity and substantive equality of outcome.</w:t>
      </w:r>
      <w:r w:rsidR="00B95C4C">
        <w:rPr>
          <w:rStyle w:val="FootnoteReference"/>
        </w:rPr>
        <w:footnoteReference w:id="176"/>
      </w:r>
      <w:r w:rsidR="00184324">
        <w:t xml:space="preserve"> Moreover, </w:t>
      </w:r>
      <w:r w:rsidR="00947466">
        <w:t xml:space="preserve">Rose argues that the Australian economic union is comprised of a customs union and free trade </w:t>
      </w:r>
      <w:r w:rsidR="00947466" w:rsidRPr="00947466">
        <w:t>area</w:t>
      </w:r>
      <w:r w:rsidR="00DC252E" w:rsidRPr="00184324">
        <w:t>.</w:t>
      </w:r>
      <w:r w:rsidR="001964D1" w:rsidRPr="00184324">
        <w:rPr>
          <w:rStyle w:val="FootnoteReference"/>
        </w:rPr>
        <w:footnoteReference w:id="177"/>
      </w:r>
      <w:r w:rsidR="00DC252E" w:rsidRPr="00184324">
        <w:t xml:space="preserve"> Consequently, the question </w:t>
      </w:r>
      <w:r w:rsidR="00614EFB" w:rsidRPr="00184324">
        <w:t>is whether the objectives of the zone tax offset are compatible with the Australian</w:t>
      </w:r>
      <w:r w:rsidR="00DC252E" w:rsidRPr="00184324">
        <w:t xml:space="preserve"> cu</w:t>
      </w:r>
      <w:r w:rsidR="00614EFB" w:rsidRPr="00184324">
        <w:t>stoms union and free trade area</w:t>
      </w:r>
      <w:r w:rsidR="00DC252E" w:rsidRPr="00184324">
        <w:t xml:space="preserve"> and </w:t>
      </w:r>
      <w:r w:rsidR="00184324" w:rsidRPr="00184324">
        <w:t>a sophisticated understanding of equality</w:t>
      </w:r>
      <w:r w:rsidR="00DC252E" w:rsidRPr="00184324">
        <w:t>?</w:t>
      </w:r>
      <w:r w:rsidR="00F138CE">
        <w:t xml:space="preserve"> </w:t>
      </w:r>
    </w:p>
    <w:p w14:paraId="72978D73" w14:textId="47746DFB" w:rsidR="00E90FE0" w:rsidRDefault="00DE75F7" w:rsidP="008E4B6C">
      <w:pPr>
        <w:spacing w:line="480" w:lineRule="auto"/>
        <w:ind w:firstLine="720"/>
      </w:pPr>
      <w:r>
        <w:t xml:space="preserve">In principle, there is no </w:t>
      </w:r>
      <w:r w:rsidR="00555F26">
        <w:t>incompatibility</w:t>
      </w:r>
      <w:r>
        <w:t xml:space="preserve"> between </w:t>
      </w:r>
      <w:r w:rsidR="00E90FE0">
        <w:t>a customs union and free trade area on the one hand and encouraging the development of remote areas and compensating residents who live there on the other.</w:t>
      </w:r>
      <w:r w:rsidR="00761CD6">
        <w:rPr>
          <w:rStyle w:val="FootnoteReference"/>
        </w:rPr>
        <w:footnoteReference w:id="178"/>
      </w:r>
      <w:r w:rsidR="00E90FE0">
        <w:t xml:space="preserve"> In a broad sense, all of these objectives encourage economic development </w:t>
      </w:r>
      <w:r w:rsidR="00555F26">
        <w:t>by</w:t>
      </w:r>
      <w:r w:rsidR="00E90FE0">
        <w:t xml:space="preserve"> different </w:t>
      </w:r>
      <w:r w:rsidR="00555F26">
        <w:t>means</w:t>
      </w:r>
      <w:r w:rsidR="00E90FE0">
        <w:t xml:space="preserve">. In a more technical sense, the zone tax offset does not </w:t>
      </w:r>
      <w:r w:rsidR="00DC7861">
        <w:t>affect</w:t>
      </w:r>
      <w:r w:rsidR="00E90FE0">
        <w:t xml:space="preserve"> Australia’s uniform custom duties or restrict freedom of trade</w:t>
      </w:r>
      <w:r w:rsidR="009D0C47">
        <w:t xml:space="preserve"> in any way</w:t>
      </w:r>
      <w:r w:rsidR="00E90FE0">
        <w:t xml:space="preserve">. Nor are the objectives of development and compensation inconsistent with the equality of the states and their peoples; indeed, they support and further equality of outcome, which the Privy Council found was a proper objective in </w:t>
      </w:r>
      <w:r w:rsidR="00E90FE0">
        <w:rPr>
          <w:i/>
        </w:rPr>
        <w:t>Moran</w:t>
      </w:r>
      <w:r w:rsidR="00E90FE0">
        <w:t>.</w:t>
      </w:r>
      <w:r w:rsidR="0019511F">
        <w:rPr>
          <w:rStyle w:val="FootnoteReference"/>
        </w:rPr>
        <w:footnoteReference w:id="179"/>
      </w:r>
      <w:r w:rsidR="00E90FE0">
        <w:t xml:space="preserve"> Recognising this, Australia has long maintained a system of payments from the Commonwealth government to its state and </w:t>
      </w:r>
      <w:r w:rsidR="00E90FE0">
        <w:lastRenderedPageBreak/>
        <w:t>territory counterparts to alleviate horizontal fiscal inequality between the states and territories.</w:t>
      </w:r>
      <w:r w:rsidR="00991B68">
        <w:rPr>
          <w:rStyle w:val="FootnoteReference"/>
        </w:rPr>
        <w:footnoteReference w:id="180"/>
      </w:r>
    </w:p>
    <w:p w14:paraId="47424B9B" w14:textId="42CE33A0" w:rsidR="00855DE1" w:rsidRDefault="00993A19" w:rsidP="008E4B6C">
      <w:pPr>
        <w:spacing w:line="480" w:lineRule="auto"/>
      </w:pPr>
      <w:r>
        <w:tab/>
      </w:r>
      <w:r w:rsidR="00DD474C">
        <w:t>Academic commentary supports the conclusion that encour</w:t>
      </w:r>
      <w:r w:rsidR="00E90FE0">
        <w:t>aging development of</w:t>
      </w:r>
      <w:r w:rsidR="00DD474C">
        <w:t xml:space="preserve"> remote areas and compensating residents living there are proper objectives. </w:t>
      </w:r>
      <w:r w:rsidR="00B908D5">
        <w:t xml:space="preserve">Coper has argued </w:t>
      </w:r>
      <w:r w:rsidR="00AB12FE">
        <w:t xml:space="preserve">that the financial provisions of the </w:t>
      </w:r>
      <w:r w:rsidR="00AB12FE">
        <w:rPr>
          <w:i/>
        </w:rPr>
        <w:t>Constitution</w:t>
      </w:r>
      <w:r w:rsidR="00AB12FE">
        <w:t xml:space="preserve">, including section 51(ii), attempt to strike a reasonable balance between promoting national economic unity whilst simultaneously permitting localised economic policies, provided they do not compromise that </w:t>
      </w:r>
      <w:r w:rsidR="002C5104">
        <w:t>unity</w:t>
      </w:r>
      <w:r w:rsidR="00AB12FE">
        <w:t>.</w:t>
      </w:r>
      <w:r w:rsidR="00AB12FE">
        <w:rPr>
          <w:rStyle w:val="FootnoteReference"/>
        </w:rPr>
        <w:footnoteReference w:id="181"/>
      </w:r>
      <w:r w:rsidR="00AB12FE">
        <w:rPr>
          <w:i/>
        </w:rPr>
        <w:t xml:space="preserve"> </w:t>
      </w:r>
      <w:r w:rsidR="005055D4">
        <w:t xml:space="preserve">In relation to section 117, </w:t>
      </w:r>
      <w:r w:rsidR="00AE3375">
        <w:t xml:space="preserve">which prohibits </w:t>
      </w:r>
      <w:r w:rsidR="008E292E">
        <w:t xml:space="preserve">discrimination on the basis of state residence, </w:t>
      </w:r>
      <w:r w:rsidR="005055D4">
        <w:t>Simpson has argued that the High Court ‘should remain focused on safe-guarding the collective, federal-structural interest in national unity.’</w:t>
      </w:r>
      <w:r w:rsidR="005055D4">
        <w:rPr>
          <w:rStyle w:val="FootnoteReference"/>
        </w:rPr>
        <w:footnoteReference w:id="182"/>
      </w:r>
      <w:r w:rsidR="005055D4">
        <w:t xml:space="preserve"> </w:t>
      </w:r>
      <w:r w:rsidR="002C44C8">
        <w:t>This approach recognises that in some instances ‘the national interest in properly functioning federalism and adequate government provision can be seen as better served by principles of localism’.</w:t>
      </w:r>
      <w:r w:rsidR="002C44C8">
        <w:rPr>
          <w:rStyle w:val="FootnoteReference"/>
        </w:rPr>
        <w:footnoteReference w:id="183"/>
      </w:r>
      <w:r w:rsidR="00FA44D5">
        <w:t xml:space="preserve"> </w:t>
      </w:r>
    </w:p>
    <w:p w14:paraId="06ADDCFE" w14:textId="53C1536F" w:rsidR="004A0A82" w:rsidRDefault="00855DE1" w:rsidP="008E4B6C">
      <w:pPr>
        <w:spacing w:line="480" w:lineRule="auto"/>
        <w:ind w:firstLine="720"/>
      </w:pPr>
      <w:r>
        <w:t xml:space="preserve">Similarly, </w:t>
      </w:r>
      <w:r w:rsidR="00FA44D5">
        <w:t>Professor Anderson has argued in relation to section 51(ii) that ‘economic and geographical differences between States and regions may necessitate, in the general national interest, discriminatory legislation designed to compensate for them’.</w:t>
      </w:r>
      <w:r w:rsidR="00FA44D5">
        <w:rPr>
          <w:rStyle w:val="FootnoteReference"/>
        </w:rPr>
        <w:footnoteReference w:id="184"/>
      </w:r>
      <w:r w:rsidR="00FA44D5">
        <w:t xml:space="preserve"> </w:t>
      </w:r>
      <w:r w:rsidR="009E670B">
        <w:t>Indeed, writing at Federation, Quick and Garran concluded that differential treatment aimed at ‘the development of the territory of a State’ would not be ‘unfederal in character’ and thus would not constitute discrimination.</w:t>
      </w:r>
      <w:r w:rsidR="009E670B">
        <w:rPr>
          <w:rStyle w:val="FootnoteReference"/>
        </w:rPr>
        <w:footnoteReference w:id="185"/>
      </w:r>
      <w:r w:rsidR="009E670B">
        <w:t xml:space="preserve"> </w:t>
      </w:r>
      <w:r w:rsidR="00FA44D5">
        <w:t xml:space="preserve">Consequently, </w:t>
      </w:r>
      <w:r w:rsidR="00F8614D">
        <w:t>the zone tax offset has proper objectives because it is in the national interest to develop remote areas and compensate residents of those areas for the disadvantages they face</w:t>
      </w:r>
      <w:r w:rsidR="00FA44D5">
        <w:t>.</w:t>
      </w:r>
    </w:p>
    <w:p w14:paraId="44F87939" w14:textId="31EC1C27" w:rsidR="004A0A82" w:rsidRDefault="004A0A82" w:rsidP="008E4B6C">
      <w:pPr>
        <w:spacing w:line="480" w:lineRule="auto"/>
      </w:pPr>
      <w:r>
        <w:lastRenderedPageBreak/>
        <w:tab/>
        <w:t xml:space="preserve">That conclusion is further supported by the law in other </w:t>
      </w:r>
      <w:r w:rsidR="009A44A1">
        <w:t>federations</w:t>
      </w:r>
      <w:r>
        <w:t xml:space="preserve">. </w:t>
      </w:r>
      <w:r w:rsidR="005F1A93">
        <w:t>The US</w:t>
      </w:r>
      <w:r>
        <w:t xml:space="preserve"> Supreme Court in </w:t>
      </w:r>
      <w:r>
        <w:rPr>
          <w:i/>
        </w:rPr>
        <w:t xml:space="preserve">Ptasynski </w:t>
      </w:r>
      <w:r w:rsidR="007B607F">
        <w:t>upheld</w:t>
      </w:r>
      <w:r w:rsidR="0016131A">
        <w:t xml:space="preserve"> </w:t>
      </w:r>
      <w:r w:rsidR="005F1A93">
        <w:t>special</w:t>
      </w:r>
      <w:r w:rsidR="0016131A">
        <w:t xml:space="preserve"> regional taxation </w:t>
      </w:r>
      <w:r w:rsidR="005F1A93">
        <w:t>measures</w:t>
      </w:r>
      <w:r w:rsidR="00E03F9B">
        <w:t>. In the EU, articles </w:t>
      </w:r>
      <w:r w:rsidR="0016131A">
        <w:t xml:space="preserve">107 and 349 of the </w:t>
      </w:r>
      <w:r w:rsidR="00085D0F">
        <w:rPr>
          <w:i/>
        </w:rPr>
        <w:t>Treaty on the Functioning of the European Union</w:t>
      </w:r>
      <w:r>
        <w:t xml:space="preserve"> </w:t>
      </w:r>
      <w:r w:rsidR="00F12103">
        <w:t xml:space="preserve">go </w:t>
      </w:r>
      <w:r>
        <w:t xml:space="preserve">further and expressly authorise </w:t>
      </w:r>
      <w:r w:rsidR="0016131A">
        <w:t>state aid measures aimed at encouraging development of particular regions.</w:t>
      </w:r>
      <w:r w:rsidR="00A523AD">
        <w:rPr>
          <w:rStyle w:val="FootnoteReference"/>
        </w:rPr>
        <w:footnoteReference w:id="186"/>
      </w:r>
      <w:r w:rsidR="00F12103">
        <w:t xml:space="preserve"> </w:t>
      </w:r>
      <w:r w:rsidR="0074084D">
        <w:t xml:space="preserve">A </w:t>
      </w:r>
      <w:r w:rsidR="0076133F">
        <w:t>similar</w:t>
      </w:r>
      <w:r w:rsidR="0074084D">
        <w:t xml:space="preserve"> provision is</w:t>
      </w:r>
      <w:r w:rsidR="00D74690">
        <w:t xml:space="preserve"> contained in</w:t>
      </w:r>
      <w:r w:rsidR="0016131A">
        <w:t xml:space="preserve"> the </w:t>
      </w:r>
      <w:r w:rsidR="00F12103" w:rsidRPr="0076133F">
        <w:rPr>
          <w:i/>
        </w:rPr>
        <w:t xml:space="preserve">Swiss </w:t>
      </w:r>
      <w:r w:rsidR="0076133F" w:rsidRPr="0076133F">
        <w:rPr>
          <w:i/>
        </w:rPr>
        <w:t>C</w:t>
      </w:r>
      <w:r w:rsidR="00D74690" w:rsidRPr="0076133F">
        <w:rPr>
          <w:i/>
        </w:rPr>
        <w:t>onstitution</w:t>
      </w:r>
      <w:r w:rsidR="00D74690">
        <w:t xml:space="preserve">, which provides that </w:t>
      </w:r>
      <w:r w:rsidR="008765D3">
        <w:t>the Confederation ‘may support regions of the country that are under economic threat’.</w:t>
      </w:r>
      <w:r w:rsidR="00FE2317">
        <w:rPr>
          <w:rStyle w:val="FootnoteReference"/>
        </w:rPr>
        <w:footnoteReference w:id="187"/>
      </w:r>
      <w:r w:rsidR="00726F4F">
        <w:t xml:space="preserve"> </w:t>
      </w:r>
      <w:r w:rsidR="00726F4F" w:rsidRPr="00FE1F5C">
        <w:t xml:space="preserve">This permits the </w:t>
      </w:r>
      <w:r w:rsidR="00555F26">
        <w:t xml:space="preserve">Swiss confederation, </w:t>
      </w:r>
      <w:r w:rsidR="00726F4F" w:rsidRPr="00FE1F5C">
        <w:t>cantons and municipalities to set different income and corporation tax rates for different regions.</w:t>
      </w:r>
      <w:r w:rsidR="00726F4F" w:rsidRPr="00FE1F5C">
        <w:rPr>
          <w:rStyle w:val="FootnoteReference"/>
        </w:rPr>
        <w:footnoteReference w:id="188"/>
      </w:r>
    </w:p>
    <w:p w14:paraId="47060A84" w14:textId="337D8800" w:rsidR="00495758" w:rsidRDefault="005F1A93" w:rsidP="008E4B6C">
      <w:pPr>
        <w:spacing w:line="480" w:lineRule="auto"/>
        <w:ind w:firstLine="720"/>
      </w:pPr>
      <w:r>
        <w:t>For all of these reasons,</w:t>
      </w:r>
      <w:r w:rsidR="00FA44D5">
        <w:t xml:space="preserve"> the zone tax offset has proper objectives. Section 79A, the extrinsic materials in relation to it and the limited judicial consideration of it all confirm that it has the dual objective</w:t>
      </w:r>
      <w:r w:rsidR="004E14FE">
        <w:t>s</w:t>
      </w:r>
      <w:r w:rsidR="00FA44D5">
        <w:t xml:space="preserve"> of encouraging development of remote areas and compensating residents who live there. </w:t>
      </w:r>
      <w:r>
        <w:t>T</w:t>
      </w:r>
      <w:r w:rsidR="00FA44D5">
        <w:t xml:space="preserve">hese objectives </w:t>
      </w:r>
      <w:r w:rsidR="001F1590">
        <w:t xml:space="preserve">are </w:t>
      </w:r>
      <w:r w:rsidR="00FA44D5">
        <w:t xml:space="preserve">proper </w:t>
      </w:r>
      <w:r>
        <w:t xml:space="preserve">for </w:t>
      </w:r>
      <w:r w:rsidR="005C6F9D">
        <w:t xml:space="preserve">the purposes of </w:t>
      </w:r>
      <w:r>
        <w:t xml:space="preserve">section 51(ii) </w:t>
      </w:r>
      <w:r w:rsidR="00FA44D5">
        <w:t xml:space="preserve">because they are </w:t>
      </w:r>
      <w:r>
        <w:t>compatible</w:t>
      </w:r>
      <w:r w:rsidR="00FA44D5">
        <w:t xml:space="preserve"> with the </w:t>
      </w:r>
      <w:r>
        <w:t>Australian</w:t>
      </w:r>
      <w:r w:rsidR="00FA44D5">
        <w:t xml:space="preserve"> economic union and the equality of the states and their peoples.</w:t>
      </w:r>
    </w:p>
    <w:p w14:paraId="249554CD" w14:textId="07FDD55A" w:rsidR="004C79F4" w:rsidRDefault="004C79F4" w:rsidP="008E4B6C">
      <w:pPr>
        <w:pStyle w:val="Heading2"/>
        <w:spacing w:line="480" w:lineRule="auto"/>
      </w:pPr>
      <w:bookmarkStart w:id="43" w:name="_Toc449554436"/>
      <w:r>
        <w:rPr>
          <w:i w:val="0"/>
        </w:rPr>
        <w:t xml:space="preserve">D </w:t>
      </w:r>
      <w:r>
        <w:t>Appropriate and Adapted</w:t>
      </w:r>
      <w:r w:rsidR="003B6486">
        <w:t xml:space="preserve"> (Proportionality)</w:t>
      </w:r>
      <w:bookmarkEnd w:id="43"/>
    </w:p>
    <w:p w14:paraId="0A3051B1" w14:textId="1E28DE40" w:rsidR="00FE22CD" w:rsidRPr="00F655F8" w:rsidRDefault="009661A0" w:rsidP="008E4B6C">
      <w:pPr>
        <w:spacing w:line="480" w:lineRule="auto"/>
        <w:rPr>
          <w:rFonts w:cs="Times New Roman"/>
          <w:lang w:val="en-AU"/>
        </w:rPr>
      </w:pPr>
      <w:r>
        <w:tab/>
        <w:t xml:space="preserve">Unfortunately, </w:t>
      </w:r>
      <w:r w:rsidR="005C6F9D">
        <w:rPr>
          <w:i/>
        </w:rPr>
        <w:t>Colonial</w:t>
      </w:r>
      <w:r w:rsidR="005C6F9D">
        <w:t xml:space="preserve">, </w:t>
      </w:r>
      <w:r w:rsidR="005C6F9D">
        <w:rPr>
          <w:i/>
        </w:rPr>
        <w:t>Moran</w:t>
      </w:r>
      <w:r w:rsidR="005C6F9D">
        <w:t xml:space="preserve">, </w:t>
      </w:r>
      <w:r>
        <w:rPr>
          <w:i/>
        </w:rPr>
        <w:t xml:space="preserve">Permanent Trustee </w:t>
      </w:r>
      <w:r>
        <w:t xml:space="preserve">and </w:t>
      </w:r>
      <w:r>
        <w:rPr>
          <w:i/>
        </w:rPr>
        <w:t xml:space="preserve">Fortescue </w:t>
      </w:r>
      <w:r>
        <w:t xml:space="preserve">provide no </w:t>
      </w:r>
      <w:r w:rsidR="00AE7BAE">
        <w:t>methodology for</w:t>
      </w:r>
      <w:r>
        <w:t xml:space="preserve"> </w:t>
      </w:r>
      <w:r w:rsidR="00AE7BAE">
        <w:t>determining</w:t>
      </w:r>
      <w:r>
        <w:t xml:space="preserve"> whether provisions of taxation laws are appropriate </w:t>
      </w:r>
      <w:r w:rsidR="00937FCC">
        <w:t xml:space="preserve">and adapted </w:t>
      </w:r>
      <w:r>
        <w:t xml:space="preserve">to their </w:t>
      </w:r>
      <w:r w:rsidR="00937FCC">
        <w:t>objective</w:t>
      </w:r>
      <w:r>
        <w:t xml:space="preserve">. </w:t>
      </w:r>
      <w:r w:rsidR="003E6B38">
        <w:t xml:space="preserve">In both cases, the High Court simply asserted that the </w:t>
      </w:r>
      <w:r w:rsidR="00525B25">
        <w:t xml:space="preserve">relevant </w:t>
      </w:r>
      <w:r w:rsidR="003E6B38">
        <w:t xml:space="preserve">provisions were appropriate and adapted. </w:t>
      </w:r>
      <w:r w:rsidR="006F3937">
        <w:t xml:space="preserve">Having said that, </w:t>
      </w:r>
      <w:r w:rsidR="006F3937" w:rsidRPr="0095628B">
        <w:rPr>
          <w:rFonts w:cs="Times New Roman"/>
          <w:lang w:val="en-AU"/>
        </w:rPr>
        <w:t xml:space="preserve">French CJ in </w:t>
      </w:r>
      <w:r w:rsidR="006F3937" w:rsidRPr="0095628B">
        <w:rPr>
          <w:rFonts w:cs="Times New Roman"/>
          <w:i/>
          <w:lang w:val="en-AU"/>
        </w:rPr>
        <w:t xml:space="preserve">Fortescue </w:t>
      </w:r>
      <w:r w:rsidR="006F3937" w:rsidRPr="0095628B">
        <w:rPr>
          <w:rFonts w:cs="Times New Roman"/>
          <w:lang w:val="en-AU"/>
        </w:rPr>
        <w:t xml:space="preserve">suggested that the subsistence of provisions for long periods of time might be an indication that they are </w:t>
      </w:r>
      <w:r w:rsidR="00FE22CD">
        <w:rPr>
          <w:rFonts w:cs="Times New Roman"/>
          <w:lang w:val="en-AU"/>
        </w:rPr>
        <w:lastRenderedPageBreak/>
        <w:t>appropriate and adapted</w:t>
      </w:r>
      <w:r w:rsidR="006F3937" w:rsidRPr="0095628B">
        <w:rPr>
          <w:rFonts w:cs="Times New Roman"/>
          <w:lang w:val="en-AU"/>
        </w:rPr>
        <w:t>.</w:t>
      </w:r>
      <w:r w:rsidR="006F3937">
        <w:rPr>
          <w:rStyle w:val="FootnoteReference"/>
          <w:rFonts w:cs="Times New Roman"/>
          <w:lang w:val="en-AU"/>
        </w:rPr>
        <w:footnoteReference w:id="189"/>
      </w:r>
      <w:r w:rsidR="006F3937" w:rsidRPr="0095628B">
        <w:rPr>
          <w:rFonts w:cs="Times New Roman"/>
          <w:lang w:val="en-AU"/>
        </w:rPr>
        <w:t xml:space="preserve"> Given the 70 year history of the zone tax offset, this </w:t>
      </w:r>
      <w:r w:rsidR="00AB649B">
        <w:rPr>
          <w:rFonts w:cs="Times New Roman"/>
          <w:lang w:val="en-AU"/>
        </w:rPr>
        <w:t xml:space="preserve">might </w:t>
      </w:r>
      <w:r w:rsidR="00AB649B" w:rsidRPr="00F655F8">
        <w:rPr>
          <w:rFonts w:cs="Times New Roman"/>
          <w:lang w:val="en-AU"/>
        </w:rPr>
        <w:t>suggest that it is</w:t>
      </w:r>
      <w:r w:rsidR="006F3937" w:rsidRPr="00F655F8">
        <w:rPr>
          <w:rFonts w:cs="Times New Roman"/>
          <w:lang w:val="en-AU"/>
        </w:rPr>
        <w:t xml:space="preserve"> appropriate and adapted to the attainment of </w:t>
      </w:r>
      <w:r w:rsidR="00CA56D4" w:rsidRPr="00F655F8">
        <w:rPr>
          <w:rFonts w:cs="Times New Roman"/>
          <w:lang w:val="en-AU"/>
        </w:rPr>
        <w:t>its</w:t>
      </w:r>
      <w:r w:rsidR="006F3937" w:rsidRPr="00F655F8">
        <w:rPr>
          <w:rFonts w:cs="Times New Roman"/>
          <w:lang w:val="en-AU"/>
        </w:rPr>
        <w:t xml:space="preserve"> objective</w:t>
      </w:r>
      <w:r w:rsidR="00CA56D4" w:rsidRPr="00F655F8">
        <w:rPr>
          <w:rFonts w:cs="Times New Roman"/>
          <w:lang w:val="en-AU"/>
        </w:rPr>
        <w:t>s</w:t>
      </w:r>
      <w:r w:rsidR="006F3937" w:rsidRPr="00F655F8">
        <w:rPr>
          <w:rFonts w:cs="Times New Roman"/>
          <w:lang w:val="en-AU"/>
        </w:rPr>
        <w:t>.</w:t>
      </w:r>
      <w:r w:rsidR="00AE7BAE" w:rsidRPr="00F655F8">
        <w:rPr>
          <w:rFonts w:cs="Times New Roman"/>
          <w:lang w:val="en-AU"/>
        </w:rPr>
        <w:t xml:space="preserve"> </w:t>
      </w:r>
      <w:r w:rsidR="00FE22CD" w:rsidRPr="00F655F8">
        <w:rPr>
          <w:rFonts w:cs="Times New Roman"/>
          <w:lang w:val="en-AU"/>
        </w:rPr>
        <w:t xml:space="preserve">Nevertheless, </w:t>
      </w:r>
      <w:r w:rsidR="00525B25" w:rsidRPr="00F655F8">
        <w:rPr>
          <w:rFonts w:cs="Times New Roman"/>
          <w:lang w:val="en-AU"/>
        </w:rPr>
        <w:t>l</w:t>
      </w:r>
      <w:r w:rsidR="0079210F" w:rsidRPr="00F655F8">
        <w:rPr>
          <w:rFonts w:cs="Times New Roman"/>
          <w:lang w:val="en-AU"/>
        </w:rPr>
        <w:t>ongevity</w:t>
      </w:r>
      <w:r w:rsidR="00525B25" w:rsidRPr="00F655F8">
        <w:rPr>
          <w:rFonts w:cs="Times New Roman"/>
          <w:lang w:val="en-AU"/>
        </w:rPr>
        <w:t xml:space="preserve"> alone cannot be the basis for a finding of constitutional validity</w:t>
      </w:r>
      <w:r w:rsidR="0079210F" w:rsidRPr="00F655F8">
        <w:rPr>
          <w:rFonts w:cs="Times New Roman"/>
          <w:lang w:val="en-AU"/>
        </w:rPr>
        <w:t xml:space="preserve">; there must </w:t>
      </w:r>
      <w:r w:rsidR="004B0861" w:rsidRPr="00F655F8">
        <w:rPr>
          <w:rFonts w:cs="Times New Roman"/>
          <w:lang w:val="en-AU"/>
        </w:rPr>
        <w:t xml:space="preserve">be </w:t>
      </w:r>
      <w:r w:rsidR="00DE525A" w:rsidRPr="00F655F8">
        <w:rPr>
          <w:rFonts w:cs="Times New Roman"/>
          <w:lang w:val="en-AU"/>
        </w:rPr>
        <w:t>substantive</w:t>
      </w:r>
      <w:r w:rsidR="004B0861" w:rsidRPr="00F655F8">
        <w:rPr>
          <w:rFonts w:cs="Times New Roman"/>
          <w:lang w:val="en-AU"/>
        </w:rPr>
        <w:t xml:space="preserve"> concepts that give meaning to the appropriate and adapted criterion</w:t>
      </w:r>
      <w:r w:rsidR="0079210F" w:rsidRPr="00F655F8">
        <w:rPr>
          <w:rFonts w:cs="Times New Roman"/>
          <w:lang w:val="en-AU"/>
        </w:rPr>
        <w:t>.</w:t>
      </w:r>
    </w:p>
    <w:p w14:paraId="4A921A64" w14:textId="77777777" w:rsidR="003E0BFC" w:rsidRDefault="00AE7BAE" w:rsidP="008E4B6C">
      <w:pPr>
        <w:spacing w:line="480" w:lineRule="auto"/>
        <w:ind w:firstLine="720"/>
        <w:rPr>
          <w:rFonts w:cs="Times New Roman"/>
          <w:lang w:val="en-AU"/>
        </w:rPr>
      </w:pPr>
      <w:r w:rsidRPr="00F655F8">
        <w:rPr>
          <w:rFonts w:cs="Times New Roman"/>
          <w:lang w:val="en-AU"/>
        </w:rPr>
        <w:t xml:space="preserve">Further guidance on the </w:t>
      </w:r>
      <w:r w:rsidR="00792B3C" w:rsidRPr="00F655F8">
        <w:rPr>
          <w:rFonts w:cs="Times New Roman"/>
          <w:lang w:val="en-AU"/>
        </w:rPr>
        <w:t>content</w:t>
      </w:r>
      <w:r w:rsidR="00CB2331" w:rsidRPr="00F655F8">
        <w:rPr>
          <w:rFonts w:cs="Times New Roman"/>
          <w:lang w:val="en-AU"/>
        </w:rPr>
        <w:t xml:space="preserve"> of the </w:t>
      </w:r>
      <w:r w:rsidRPr="00F655F8">
        <w:rPr>
          <w:rFonts w:cs="Times New Roman"/>
          <w:lang w:val="en-AU"/>
        </w:rPr>
        <w:t xml:space="preserve">appropriate and adapted </w:t>
      </w:r>
      <w:r w:rsidR="00792B3C" w:rsidRPr="00F655F8">
        <w:rPr>
          <w:rFonts w:cs="Times New Roman"/>
          <w:lang w:val="en-AU"/>
        </w:rPr>
        <w:t>criterion</w:t>
      </w:r>
      <w:r w:rsidRPr="00F655F8">
        <w:rPr>
          <w:rFonts w:cs="Times New Roman"/>
          <w:lang w:val="en-AU"/>
        </w:rPr>
        <w:t xml:space="preserve"> can only be gained by reference to its </w:t>
      </w:r>
      <w:r w:rsidR="00792B3C" w:rsidRPr="00F655F8">
        <w:rPr>
          <w:rFonts w:cs="Times New Roman"/>
          <w:lang w:val="en-AU"/>
        </w:rPr>
        <w:t>use</w:t>
      </w:r>
      <w:r w:rsidRPr="00F655F8">
        <w:rPr>
          <w:rFonts w:cs="Times New Roman"/>
          <w:lang w:val="en-AU"/>
        </w:rPr>
        <w:t xml:space="preserve"> in other </w:t>
      </w:r>
      <w:r w:rsidR="0095224E" w:rsidRPr="00F655F8">
        <w:rPr>
          <w:rFonts w:cs="Times New Roman"/>
          <w:lang w:val="en-AU"/>
        </w:rPr>
        <w:t xml:space="preserve">constitutional </w:t>
      </w:r>
      <w:r w:rsidRPr="00F655F8">
        <w:rPr>
          <w:rFonts w:cs="Times New Roman"/>
          <w:lang w:val="en-AU"/>
        </w:rPr>
        <w:t>contexts.</w:t>
      </w:r>
      <w:r w:rsidR="00792B3C" w:rsidRPr="00F655F8">
        <w:rPr>
          <w:rFonts w:cs="Times New Roman"/>
          <w:lang w:val="en-AU"/>
        </w:rPr>
        <w:t xml:space="preserve"> </w:t>
      </w:r>
      <w:r w:rsidR="000D7E69" w:rsidRPr="00F655F8">
        <w:rPr>
          <w:rFonts w:cs="Times New Roman"/>
          <w:lang w:val="en-AU"/>
        </w:rPr>
        <w:t>It is most</w:t>
      </w:r>
      <w:r w:rsidR="004F00AD" w:rsidRPr="00F655F8">
        <w:rPr>
          <w:rFonts w:cs="Times New Roman"/>
          <w:lang w:val="en-AU"/>
        </w:rPr>
        <w:t xml:space="preserve"> commonly applied by the High Court when considering the implied freedom of political communication</w:t>
      </w:r>
      <w:r w:rsidR="003B430C" w:rsidRPr="00F655F8">
        <w:rPr>
          <w:rFonts w:cs="Times New Roman"/>
          <w:lang w:val="en-AU"/>
        </w:rPr>
        <w:t>, which</w:t>
      </w:r>
      <w:r w:rsidR="00DE525A" w:rsidRPr="00F655F8">
        <w:rPr>
          <w:rFonts w:cs="Times New Roman"/>
          <w:lang w:val="en-AU"/>
        </w:rPr>
        <w:t>, like the section 51(ii)</w:t>
      </w:r>
      <w:r w:rsidR="003B430C" w:rsidRPr="00F655F8">
        <w:rPr>
          <w:rFonts w:cs="Times New Roman"/>
          <w:lang w:val="en-AU"/>
        </w:rPr>
        <w:t xml:space="preserve"> </w:t>
      </w:r>
      <w:r w:rsidR="00DE525A" w:rsidRPr="00F655F8">
        <w:rPr>
          <w:rFonts w:cs="Times New Roman"/>
          <w:lang w:val="en-AU"/>
        </w:rPr>
        <w:t xml:space="preserve">discrimination prohibition, </w:t>
      </w:r>
      <w:r w:rsidR="003E0BFC">
        <w:rPr>
          <w:rFonts w:cs="Times New Roman"/>
          <w:lang w:val="en-AU"/>
        </w:rPr>
        <w:t>is</w:t>
      </w:r>
      <w:r w:rsidR="003B430C" w:rsidRPr="00F655F8">
        <w:rPr>
          <w:rFonts w:cs="Times New Roman"/>
          <w:lang w:val="en-AU"/>
        </w:rPr>
        <w:t xml:space="preserve"> a limitation on legislative power</w:t>
      </w:r>
      <w:r w:rsidR="004F00AD" w:rsidRPr="00F655F8">
        <w:rPr>
          <w:rFonts w:cs="Times New Roman"/>
          <w:lang w:val="en-AU"/>
        </w:rPr>
        <w:t xml:space="preserve">. </w:t>
      </w:r>
      <w:r w:rsidR="00F655F8" w:rsidRPr="00F655F8">
        <w:rPr>
          <w:rFonts w:cs="Times New Roman"/>
          <w:lang w:val="en-AU"/>
        </w:rPr>
        <w:t xml:space="preserve">In the most recent decision on the </w:t>
      </w:r>
      <w:r w:rsidR="007859A4">
        <w:rPr>
          <w:rFonts w:cs="Times New Roman"/>
          <w:lang w:val="en-AU"/>
        </w:rPr>
        <w:t>freedom</w:t>
      </w:r>
      <w:r w:rsidR="00F655F8" w:rsidRPr="00F655F8">
        <w:rPr>
          <w:rFonts w:cs="Times New Roman"/>
          <w:lang w:val="en-AU"/>
        </w:rPr>
        <w:t>, a joint majority of the High Court confirmed that the appropriate and adapted criterion involves a</w:t>
      </w:r>
      <w:r w:rsidR="00F655F8">
        <w:rPr>
          <w:rFonts w:cs="Times New Roman"/>
          <w:lang w:val="en-AU"/>
        </w:rPr>
        <w:t xml:space="preserve"> proportionality test focused on the extent of the burden legislation places on the freedom.</w:t>
      </w:r>
      <w:r w:rsidR="00F655F8">
        <w:rPr>
          <w:rStyle w:val="FootnoteReference"/>
          <w:rFonts w:cs="Times New Roman"/>
          <w:lang w:val="en-AU"/>
        </w:rPr>
        <w:footnoteReference w:id="190"/>
      </w:r>
      <w:r w:rsidR="00F655F8">
        <w:rPr>
          <w:rFonts w:cs="Times New Roman"/>
          <w:lang w:val="en-AU"/>
        </w:rPr>
        <w:t xml:space="preserve"> </w:t>
      </w:r>
    </w:p>
    <w:p w14:paraId="321BDFFC" w14:textId="620B520E" w:rsidR="00F655F8" w:rsidRPr="00F655F8" w:rsidRDefault="00F655F8" w:rsidP="008E4B6C">
      <w:pPr>
        <w:spacing w:line="480" w:lineRule="auto"/>
        <w:ind w:firstLine="720"/>
        <w:rPr>
          <w:rFonts w:cs="Times New Roman"/>
          <w:lang w:val="en-AU"/>
        </w:rPr>
      </w:pPr>
      <w:r>
        <w:rPr>
          <w:rFonts w:cs="Times New Roman"/>
          <w:lang w:val="en-AU"/>
        </w:rPr>
        <w:t>This test involves three stages: suitability, necessity and adequate balance.</w:t>
      </w:r>
      <w:r>
        <w:rPr>
          <w:rStyle w:val="FootnoteReference"/>
          <w:rFonts w:cs="Times New Roman"/>
          <w:lang w:val="en-AU"/>
        </w:rPr>
        <w:footnoteReference w:id="191"/>
      </w:r>
      <w:r>
        <w:rPr>
          <w:rFonts w:cs="Times New Roman"/>
          <w:lang w:val="en-AU"/>
        </w:rPr>
        <w:t xml:space="preserve"> Suitability requires a rational connection between the legislative provisions and their objectives so that the former further the latter.</w:t>
      </w:r>
      <w:r>
        <w:rPr>
          <w:rStyle w:val="FootnoteReference"/>
          <w:rFonts w:cs="Times New Roman"/>
          <w:lang w:val="en-AU"/>
        </w:rPr>
        <w:footnoteReference w:id="192"/>
      </w:r>
      <w:r>
        <w:rPr>
          <w:rFonts w:cs="Times New Roman"/>
          <w:lang w:val="en-AU"/>
        </w:rPr>
        <w:t xml:space="preserve"> Necessity requires that there be no obvious, compelling and reasonably practicable alternative means of achieving the objective that has a less restrictive effect on the freedom.</w:t>
      </w:r>
      <w:r>
        <w:rPr>
          <w:rStyle w:val="FootnoteReference"/>
          <w:rFonts w:cs="Times New Roman"/>
          <w:lang w:val="en-AU"/>
        </w:rPr>
        <w:footnoteReference w:id="193"/>
      </w:r>
      <w:r>
        <w:rPr>
          <w:rFonts w:cs="Times New Roman"/>
          <w:lang w:val="en-AU"/>
        </w:rPr>
        <w:t xml:space="preserve"> An adequate balance requires that any positive effects from </w:t>
      </w:r>
      <w:r w:rsidRPr="00F655F8">
        <w:rPr>
          <w:rFonts w:cs="Times New Roman"/>
          <w:lang w:val="en-AU"/>
        </w:rPr>
        <w:t>achieving the legislative objective exceed any negative effects on the freedom, having regard to the importance of the legislative objective and the extent of the effect on the freedom.</w:t>
      </w:r>
      <w:r w:rsidRPr="00F655F8">
        <w:rPr>
          <w:rStyle w:val="FootnoteReference"/>
          <w:rFonts w:cs="Times New Roman"/>
          <w:lang w:val="en-AU"/>
        </w:rPr>
        <w:footnoteReference w:id="194"/>
      </w:r>
      <w:r w:rsidRPr="00F655F8">
        <w:rPr>
          <w:rFonts w:cs="Times New Roman"/>
          <w:lang w:val="en-AU"/>
        </w:rPr>
        <w:t xml:space="preserve"> </w:t>
      </w:r>
    </w:p>
    <w:p w14:paraId="4EDC935B" w14:textId="78A0FBC4" w:rsidR="00661CF5" w:rsidRPr="00F655F8" w:rsidRDefault="00DE525A" w:rsidP="008E4B6C">
      <w:pPr>
        <w:spacing w:line="480" w:lineRule="auto"/>
        <w:ind w:firstLine="720"/>
        <w:rPr>
          <w:rFonts w:cs="Times New Roman"/>
          <w:lang w:val="en-AU"/>
        </w:rPr>
      </w:pPr>
      <w:r w:rsidRPr="00F655F8">
        <w:rPr>
          <w:rFonts w:cs="Times New Roman"/>
          <w:lang w:val="en-AU"/>
        </w:rPr>
        <w:t>Importantly, however,</w:t>
      </w:r>
      <w:r w:rsidR="004F00AD" w:rsidRPr="00F655F8">
        <w:rPr>
          <w:rFonts w:cs="Times New Roman"/>
          <w:lang w:val="en-AU"/>
        </w:rPr>
        <w:t xml:space="preserve"> </w:t>
      </w:r>
      <w:r w:rsidR="00A55AC4" w:rsidRPr="00F655F8">
        <w:rPr>
          <w:rFonts w:cs="Times New Roman"/>
          <w:lang w:val="en-AU"/>
        </w:rPr>
        <w:t xml:space="preserve">there are fundamental differences between </w:t>
      </w:r>
      <w:r w:rsidR="00383B0F">
        <w:rPr>
          <w:rFonts w:cs="Times New Roman"/>
          <w:lang w:val="en-AU"/>
        </w:rPr>
        <w:t>the section 51(ii) discrimination prohibition and the freedom of political communication</w:t>
      </w:r>
      <w:r w:rsidR="00A55AC4" w:rsidRPr="00F655F8">
        <w:rPr>
          <w:rFonts w:cs="Times New Roman"/>
          <w:lang w:val="en-AU"/>
        </w:rPr>
        <w:t xml:space="preserve">. </w:t>
      </w:r>
      <w:r w:rsidR="003E0BFC">
        <w:rPr>
          <w:rFonts w:cs="Times New Roman"/>
          <w:lang w:val="en-AU"/>
        </w:rPr>
        <w:t xml:space="preserve">Section 51(ii) is an express </w:t>
      </w:r>
      <w:r w:rsidR="005C6F9D">
        <w:rPr>
          <w:rFonts w:cs="Times New Roman"/>
          <w:lang w:val="en-AU"/>
        </w:rPr>
        <w:t xml:space="preserve">economic </w:t>
      </w:r>
      <w:r w:rsidR="003E0BFC">
        <w:rPr>
          <w:rFonts w:cs="Times New Roman"/>
          <w:lang w:val="en-AU"/>
        </w:rPr>
        <w:t>prohibition, whereas t</w:t>
      </w:r>
      <w:r w:rsidR="0029570D" w:rsidRPr="00F655F8">
        <w:rPr>
          <w:rFonts w:cs="Times New Roman"/>
          <w:lang w:val="en-AU"/>
        </w:rPr>
        <w:t xml:space="preserve">he freedom is a human rights protection that is not </w:t>
      </w:r>
      <w:r w:rsidR="0029570D" w:rsidRPr="00F655F8">
        <w:rPr>
          <w:rFonts w:cs="Times New Roman"/>
          <w:lang w:val="en-AU"/>
        </w:rPr>
        <w:lastRenderedPageBreak/>
        <w:t xml:space="preserve">expressly set out in the </w:t>
      </w:r>
      <w:r w:rsidR="0029570D" w:rsidRPr="00F655F8">
        <w:rPr>
          <w:rFonts w:cs="Times New Roman"/>
          <w:i/>
          <w:lang w:val="en-AU"/>
        </w:rPr>
        <w:t>Constitution</w:t>
      </w:r>
      <w:r w:rsidR="0029570D" w:rsidRPr="00F655F8">
        <w:rPr>
          <w:rFonts w:cs="Times New Roman"/>
          <w:lang w:val="en-AU"/>
        </w:rPr>
        <w:t xml:space="preserve"> but implied from its text and structure. Furthermore, </w:t>
      </w:r>
      <w:r w:rsidR="00661CF5" w:rsidRPr="00F655F8">
        <w:rPr>
          <w:rFonts w:cs="Times New Roman"/>
          <w:lang w:val="en-AU"/>
        </w:rPr>
        <w:t>until recently</w:t>
      </w:r>
      <w:r w:rsidR="0029570D" w:rsidRPr="00F655F8">
        <w:rPr>
          <w:rFonts w:cs="Times New Roman"/>
          <w:lang w:val="en-AU"/>
        </w:rPr>
        <w:t xml:space="preserve"> </w:t>
      </w:r>
      <w:r w:rsidR="00661CF5" w:rsidRPr="00F655F8">
        <w:rPr>
          <w:rFonts w:cs="Times New Roman"/>
          <w:lang w:val="en-AU"/>
        </w:rPr>
        <w:t>there was significant judicial disagreement regarding the content of the appropriate and adapted criterion. Finally, when applying the freedom,</w:t>
      </w:r>
      <w:r w:rsidR="00853A94" w:rsidRPr="00F655F8">
        <w:rPr>
          <w:rFonts w:cs="Times New Roman"/>
          <w:lang w:val="en-AU"/>
        </w:rPr>
        <w:t xml:space="preserve"> the Court has long endorsed a two-stage defeasibility model</w:t>
      </w:r>
      <w:r w:rsidR="00661CF5" w:rsidRPr="00F655F8">
        <w:rPr>
          <w:rFonts w:cs="Times New Roman"/>
          <w:lang w:val="en-AU"/>
        </w:rPr>
        <w:t xml:space="preserve"> of discrimination</w:t>
      </w:r>
      <w:r w:rsidR="00F25CE8" w:rsidRPr="00F655F8">
        <w:rPr>
          <w:rFonts w:cs="Times New Roman"/>
          <w:lang w:val="en-AU"/>
        </w:rPr>
        <w:t xml:space="preserve">, whereas French CJ in </w:t>
      </w:r>
      <w:r w:rsidR="00F25CE8" w:rsidRPr="00F655F8">
        <w:rPr>
          <w:rFonts w:cs="Times New Roman"/>
          <w:i/>
          <w:lang w:val="en-AU"/>
        </w:rPr>
        <w:t xml:space="preserve">Fortescue </w:t>
      </w:r>
      <w:r w:rsidR="00F25CE8" w:rsidRPr="00F655F8">
        <w:rPr>
          <w:rFonts w:cs="Times New Roman"/>
          <w:lang w:val="en-AU"/>
        </w:rPr>
        <w:t>emphasised that section 51(</w:t>
      </w:r>
      <w:r w:rsidR="00853A94" w:rsidRPr="00F655F8">
        <w:rPr>
          <w:rFonts w:cs="Times New Roman"/>
          <w:lang w:val="en-AU"/>
        </w:rPr>
        <w:t xml:space="preserve">ii) </w:t>
      </w:r>
      <w:r w:rsidR="005C6F9D">
        <w:rPr>
          <w:rFonts w:cs="Times New Roman"/>
          <w:lang w:val="en-AU"/>
        </w:rPr>
        <w:t>embodies</w:t>
      </w:r>
      <w:r w:rsidR="00853A94" w:rsidRPr="00F655F8">
        <w:rPr>
          <w:rFonts w:cs="Times New Roman"/>
          <w:lang w:val="en-AU"/>
        </w:rPr>
        <w:t xml:space="preserve"> a holistic balancing model</w:t>
      </w:r>
      <w:r w:rsidR="00661CF5" w:rsidRPr="00F655F8">
        <w:rPr>
          <w:rFonts w:cs="Times New Roman"/>
          <w:lang w:val="en-AU"/>
        </w:rPr>
        <w:t>.</w:t>
      </w:r>
    </w:p>
    <w:p w14:paraId="6F8EFB08" w14:textId="5A2B7891" w:rsidR="00E75D68" w:rsidRDefault="003E0BFC" w:rsidP="008E4B6C">
      <w:pPr>
        <w:spacing w:line="480" w:lineRule="auto"/>
        <w:ind w:firstLine="720"/>
        <w:rPr>
          <w:rFonts w:cs="Times New Roman"/>
          <w:lang w:val="en-AU"/>
        </w:rPr>
      </w:pPr>
      <w:r>
        <w:rPr>
          <w:rFonts w:cs="Times New Roman"/>
          <w:lang w:val="en-AU"/>
        </w:rPr>
        <w:t>Cognisant of these differences</w:t>
      </w:r>
      <w:r w:rsidR="00A55AC4" w:rsidRPr="00F655F8">
        <w:rPr>
          <w:rFonts w:cs="Times New Roman"/>
          <w:lang w:val="en-AU"/>
        </w:rPr>
        <w:t>, t</w:t>
      </w:r>
      <w:r>
        <w:rPr>
          <w:rFonts w:cs="Times New Roman"/>
          <w:lang w:val="en-AU"/>
        </w:rPr>
        <w:t xml:space="preserve">he three stage proportionality </w:t>
      </w:r>
      <w:r w:rsidR="007B244D" w:rsidRPr="00F655F8">
        <w:rPr>
          <w:rFonts w:cs="Times New Roman"/>
          <w:lang w:val="en-AU"/>
        </w:rPr>
        <w:t xml:space="preserve">test can be </w:t>
      </w:r>
      <w:r w:rsidR="00D314FE">
        <w:rPr>
          <w:rFonts w:cs="Times New Roman"/>
          <w:lang w:val="en-AU"/>
        </w:rPr>
        <w:t xml:space="preserve">conceptually </w:t>
      </w:r>
      <w:r w:rsidR="007B244D" w:rsidRPr="00F655F8">
        <w:rPr>
          <w:rFonts w:cs="Times New Roman"/>
          <w:lang w:val="en-AU"/>
        </w:rPr>
        <w:t xml:space="preserve">modified to apply </w:t>
      </w:r>
      <w:r w:rsidR="00A55AC4" w:rsidRPr="00F655F8">
        <w:rPr>
          <w:rFonts w:cs="Times New Roman"/>
          <w:lang w:val="en-AU"/>
        </w:rPr>
        <w:t>in the section 51(ii) context by</w:t>
      </w:r>
      <w:r w:rsidR="007B244D" w:rsidRPr="00F655F8">
        <w:rPr>
          <w:rFonts w:cs="Times New Roman"/>
          <w:lang w:val="en-AU"/>
        </w:rPr>
        <w:t xml:space="preserve"> replacing the references to ‘the freedom’ with references to ‘the economic union </w:t>
      </w:r>
      <w:r w:rsidR="007B244D">
        <w:rPr>
          <w:rFonts w:cs="Times New Roman"/>
          <w:lang w:val="en-AU"/>
        </w:rPr>
        <w:t xml:space="preserve">and equality of the states and their peoples </w:t>
      </w:r>
      <w:r w:rsidR="00D314FE">
        <w:rPr>
          <w:rFonts w:cs="Times New Roman"/>
          <w:lang w:val="en-AU"/>
        </w:rPr>
        <w:t>section 51(ii) protects</w:t>
      </w:r>
      <w:r w:rsidR="007B244D">
        <w:rPr>
          <w:rFonts w:cs="Times New Roman"/>
          <w:lang w:val="en-AU"/>
        </w:rPr>
        <w:t>’.</w:t>
      </w:r>
      <w:r w:rsidR="00FE1F5C">
        <w:rPr>
          <w:rFonts w:cs="Times New Roman"/>
          <w:lang w:val="en-AU"/>
        </w:rPr>
        <w:t xml:space="preserve"> The operation of the zone tax offset and its legislative history raise a number of issues relevant to </w:t>
      </w:r>
      <w:r w:rsidR="006A74EB">
        <w:rPr>
          <w:rFonts w:cs="Times New Roman"/>
          <w:lang w:val="en-AU"/>
        </w:rPr>
        <w:t>th</w:t>
      </w:r>
      <w:r w:rsidR="00D314FE">
        <w:rPr>
          <w:rFonts w:cs="Times New Roman"/>
          <w:lang w:val="en-AU"/>
        </w:rPr>
        <w:t>is</w:t>
      </w:r>
      <w:r w:rsidR="006A74EB">
        <w:rPr>
          <w:rFonts w:cs="Times New Roman"/>
          <w:lang w:val="en-AU"/>
        </w:rPr>
        <w:t xml:space="preserve"> proportionality test</w:t>
      </w:r>
      <w:r w:rsidR="003E73F9">
        <w:rPr>
          <w:rFonts w:cs="Times New Roman"/>
          <w:lang w:val="en-AU"/>
        </w:rPr>
        <w:t>: the fact that the offset is n</w:t>
      </w:r>
      <w:r w:rsidR="000F3864">
        <w:rPr>
          <w:rFonts w:cs="Times New Roman"/>
          <w:lang w:val="en-AU"/>
        </w:rPr>
        <w:t>on-refundable, non-transferable and</w:t>
      </w:r>
      <w:r w:rsidR="003E73F9">
        <w:rPr>
          <w:rFonts w:cs="Times New Roman"/>
          <w:lang w:val="en-AU"/>
        </w:rPr>
        <w:t xml:space="preserve"> unable to be carried forward or back</w:t>
      </w:r>
      <w:r w:rsidR="00901BC7">
        <w:rPr>
          <w:rFonts w:cs="Times New Roman"/>
          <w:lang w:val="en-AU"/>
        </w:rPr>
        <w:t>wards</w:t>
      </w:r>
      <w:r w:rsidR="000F3864">
        <w:rPr>
          <w:rFonts w:cs="Times New Roman"/>
          <w:lang w:val="en-AU"/>
        </w:rPr>
        <w:t xml:space="preserve">; </w:t>
      </w:r>
      <w:r w:rsidR="003E73F9">
        <w:rPr>
          <w:rFonts w:cs="Times New Roman"/>
          <w:lang w:val="en-AU"/>
        </w:rPr>
        <w:t xml:space="preserve">the lack of review or indexation of base offset amounts; the fact that the offset is available only to individual taxpayers; </w:t>
      </w:r>
      <w:r w:rsidR="00F26039">
        <w:rPr>
          <w:rFonts w:cs="Times New Roman"/>
          <w:lang w:val="en-AU"/>
        </w:rPr>
        <w:t xml:space="preserve">the availability of the offset to non-employees; </w:t>
      </w:r>
      <w:r w:rsidR="003E73F9">
        <w:rPr>
          <w:rFonts w:cs="Times New Roman"/>
          <w:lang w:val="en-AU"/>
        </w:rPr>
        <w:t xml:space="preserve">and, the arbitrary </w:t>
      </w:r>
      <w:r w:rsidR="00EA737A">
        <w:rPr>
          <w:rFonts w:cs="Times New Roman"/>
          <w:lang w:val="en-AU"/>
        </w:rPr>
        <w:t>boundaries</w:t>
      </w:r>
      <w:r w:rsidR="003E73F9">
        <w:rPr>
          <w:rFonts w:cs="Times New Roman"/>
          <w:lang w:val="en-AU"/>
        </w:rPr>
        <w:t xml:space="preserve"> of the prescribed area and its constituent zones. </w:t>
      </w:r>
      <w:r w:rsidR="006A74EB">
        <w:rPr>
          <w:rFonts w:cs="Times New Roman"/>
          <w:lang w:val="en-AU"/>
        </w:rPr>
        <w:t>None, however, ar</w:t>
      </w:r>
      <w:r w:rsidR="00FD32FD">
        <w:rPr>
          <w:rFonts w:cs="Times New Roman"/>
          <w:lang w:val="en-AU"/>
        </w:rPr>
        <w:t>e fatal to the constitutional validity of the zone tax offset.</w:t>
      </w:r>
    </w:p>
    <w:p w14:paraId="53C1C48B" w14:textId="763C4118" w:rsidR="007810BA" w:rsidRDefault="009E1004" w:rsidP="008E4B6C">
      <w:pPr>
        <w:spacing w:line="480" w:lineRule="auto"/>
        <w:ind w:firstLine="720"/>
        <w:rPr>
          <w:rFonts w:cs="Times New Roman"/>
          <w:lang w:val="en-AU"/>
        </w:rPr>
      </w:pPr>
      <w:r>
        <w:rPr>
          <w:rFonts w:cs="Times New Roman"/>
          <w:lang w:val="en-AU"/>
        </w:rPr>
        <w:t xml:space="preserve">To begin with, </w:t>
      </w:r>
      <w:r w:rsidR="003774ED">
        <w:rPr>
          <w:rFonts w:cs="Times New Roman"/>
          <w:lang w:val="en-AU"/>
        </w:rPr>
        <w:t xml:space="preserve">the fact that </w:t>
      </w:r>
      <w:r w:rsidR="00FB7090">
        <w:rPr>
          <w:rFonts w:cs="Times New Roman"/>
          <w:lang w:val="en-AU"/>
        </w:rPr>
        <w:t>the offset is non-refundable, non-transferable and unable to be carried forward or backwards to other income years</w:t>
      </w:r>
      <w:r w:rsidR="00BB270C">
        <w:rPr>
          <w:rFonts w:cs="Times New Roman"/>
          <w:lang w:val="en-AU"/>
        </w:rPr>
        <w:t xml:space="preserve"> raises suitability issues</w:t>
      </w:r>
      <w:r w:rsidR="00FB7090">
        <w:rPr>
          <w:rFonts w:cs="Times New Roman"/>
          <w:lang w:val="en-AU"/>
        </w:rPr>
        <w:t>. If the objectives of the offset are to encourage development and compensate residents of remote areas, its value should be available to all resident</w:t>
      </w:r>
      <w:r w:rsidR="00EB3556">
        <w:rPr>
          <w:rFonts w:cs="Times New Roman"/>
          <w:lang w:val="en-AU"/>
        </w:rPr>
        <w:t>s</w:t>
      </w:r>
      <w:r w:rsidR="00FB7090">
        <w:rPr>
          <w:rFonts w:cs="Times New Roman"/>
          <w:lang w:val="en-AU"/>
        </w:rPr>
        <w:t xml:space="preserve">. </w:t>
      </w:r>
      <w:r w:rsidR="00EB3556">
        <w:rPr>
          <w:rFonts w:cs="Times New Roman"/>
          <w:lang w:val="en-AU"/>
        </w:rPr>
        <w:t>Despite this,</w:t>
      </w:r>
      <w:r w:rsidR="00FB7090">
        <w:rPr>
          <w:rFonts w:cs="Times New Roman"/>
          <w:lang w:val="en-AU"/>
        </w:rPr>
        <w:t xml:space="preserve"> the limited nature of the offset means that taxpayers cannot </w:t>
      </w:r>
      <w:r w:rsidR="00A815E7">
        <w:rPr>
          <w:rFonts w:cs="Times New Roman"/>
          <w:lang w:val="en-AU"/>
        </w:rPr>
        <w:t>obtain its benefit</w:t>
      </w:r>
      <w:r w:rsidR="00FB7090">
        <w:rPr>
          <w:rFonts w:cs="Times New Roman"/>
          <w:lang w:val="en-AU"/>
        </w:rPr>
        <w:t xml:space="preserve"> if they are in an overall loss position or otherwise have no income tax liability. Juxtapose the result if the offset were instead a deduction: it would increase the deductible losses of the taxpayer that could be carried forward </w:t>
      </w:r>
      <w:r w:rsidR="009935D7">
        <w:rPr>
          <w:rFonts w:cs="Times New Roman"/>
          <w:lang w:val="en-AU"/>
        </w:rPr>
        <w:t>into future years</w:t>
      </w:r>
      <w:r w:rsidR="00FB7090">
        <w:rPr>
          <w:rFonts w:cs="Times New Roman"/>
          <w:lang w:val="en-AU"/>
        </w:rPr>
        <w:t xml:space="preserve">. </w:t>
      </w:r>
    </w:p>
    <w:p w14:paraId="449139C4" w14:textId="50E69D11" w:rsidR="007810BA" w:rsidRDefault="007810BA" w:rsidP="008E4B6C">
      <w:pPr>
        <w:spacing w:line="480" w:lineRule="auto"/>
        <w:ind w:firstLine="720"/>
        <w:rPr>
          <w:rFonts w:cs="Times New Roman"/>
          <w:lang w:val="en-AU"/>
        </w:rPr>
      </w:pPr>
      <w:r>
        <w:rPr>
          <w:rFonts w:cs="Times New Roman"/>
          <w:lang w:val="en-AU"/>
        </w:rPr>
        <w:t xml:space="preserve">Another feature of the zone tax offset that raises suitability issues is </w:t>
      </w:r>
      <w:r w:rsidR="008501E8">
        <w:rPr>
          <w:rFonts w:cs="Times New Roman"/>
          <w:lang w:val="en-AU"/>
        </w:rPr>
        <w:t>that</w:t>
      </w:r>
      <w:r w:rsidR="006F3B0C">
        <w:rPr>
          <w:rFonts w:cs="Times New Roman"/>
          <w:lang w:val="en-AU"/>
        </w:rPr>
        <w:t>, because</w:t>
      </w:r>
      <w:r>
        <w:rPr>
          <w:rFonts w:cs="Times New Roman"/>
          <w:lang w:val="en-AU"/>
        </w:rPr>
        <w:t xml:space="preserve"> the base offset amounts have always been specified in section 79A, any increase to them has </w:t>
      </w:r>
      <w:r>
        <w:rPr>
          <w:rFonts w:cs="Times New Roman"/>
          <w:lang w:val="en-AU"/>
        </w:rPr>
        <w:lastRenderedPageBreak/>
        <w:t xml:space="preserve">required primary legislation. Since 1945, the amounts </w:t>
      </w:r>
      <w:r w:rsidR="00143124">
        <w:rPr>
          <w:rFonts w:cs="Times New Roman"/>
          <w:lang w:val="en-AU"/>
        </w:rPr>
        <w:t>have been</w:t>
      </w:r>
      <w:r>
        <w:rPr>
          <w:rFonts w:cs="Times New Roman"/>
          <w:lang w:val="en-AU"/>
        </w:rPr>
        <w:t xml:space="preserve"> sporadically increased </w:t>
      </w:r>
      <w:r w:rsidR="00EB3556">
        <w:rPr>
          <w:rFonts w:cs="Times New Roman"/>
          <w:lang w:val="en-AU"/>
        </w:rPr>
        <w:t xml:space="preserve">(only </w:t>
      </w:r>
      <w:r w:rsidR="005C6F9D">
        <w:rPr>
          <w:rFonts w:cs="Times New Roman"/>
          <w:lang w:val="en-AU"/>
        </w:rPr>
        <w:t>six</w:t>
      </w:r>
      <w:r w:rsidR="00EB3556">
        <w:rPr>
          <w:rFonts w:cs="Times New Roman"/>
          <w:lang w:val="en-AU"/>
        </w:rPr>
        <w:t xml:space="preserve"> times in total) </w:t>
      </w:r>
      <w:r>
        <w:rPr>
          <w:rFonts w:cs="Times New Roman"/>
          <w:lang w:val="en-AU"/>
        </w:rPr>
        <w:t>due to ‘a pronounced reluctance to index … for inflation.’</w:t>
      </w:r>
      <w:bookmarkStart w:id="44" w:name="_Ref449356155"/>
      <w:r>
        <w:rPr>
          <w:rStyle w:val="FootnoteReference"/>
          <w:rFonts w:cs="Times New Roman"/>
          <w:lang w:val="en-AU"/>
        </w:rPr>
        <w:footnoteReference w:id="195"/>
      </w:r>
      <w:bookmarkEnd w:id="44"/>
      <w:r>
        <w:rPr>
          <w:rFonts w:cs="Times New Roman"/>
          <w:lang w:val="en-AU"/>
        </w:rPr>
        <w:t xml:space="preserve"> The </w:t>
      </w:r>
      <w:r w:rsidR="00623545">
        <w:rPr>
          <w:rFonts w:cs="Times New Roman"/>
          <w:lang w:val="en-AU"/>
        </w:rPr>
        <w:t>Zone Allowances</w:t>
      </w:r>
      <w:r>
        <w:rPr>
          <w:rFonts w:cs="Times New Roman"/>
          <w:lang w:val="en-AU"/>
        </w:rPr>
        <w:t xml:space="preserve"> Inquiry noted that the ‘amounts of the basic allowance have remained largely unchanged since 1958’</w:t>
      </w:r>
      <w:r w:rsidRPr="00A26A9D">
        <w:rPr>
          <w:rStyle w:val="FootnoteReference"/>
          <w:rFonts w:cs="Times New Roman"/>
          <w:lang w:val="en-AU"/>
        </w:rPr>
        <w:t xml:space="preserve"> </w:t>
      </w:r>
      <w:r>
        <w:rPr>
          <w:rFonts w:cs="Times New Roman"/>
          <w:lang w:val="en-AU"/>
        </w:rPr>
        <w:t xml:space="preserve">and, one member of the Inquiry, in an additional personal statement, opined that </w:t>
      </w:r>
      <w:r w:rsidR="00131DB9">
        <w:rPr>
          <w:rFonts w:cs="Times New Roman"/>
          <w:lang w:val="en-AU"/>
        </w:rPr>
        <w:t>they</w:t>
      </w:r>
      <w:r>
        <w:rPr>
          <w:rFonts w:cs="Times New Roman"/>
          <w:lang w:val="en-AU"/>
        </w:rPr>
        <w:t xml:space="preserve"> had ‘been seriously eroded by inflation to the point where currently they are almost inconsequential.’</w:t>
      </w:r>
      <w:r>
        <w:rPr>
          <w:rStyle w:val="FootnoteReference"/>
          <w:rFonts w:cs="Times New Roman"/>
          <w:lang w:val="en-AU"/>
        </w:rPr>
        <w:footnoteReference w:id="196"/>
      </w:r>
      <w:r>
        <w:rPr>
          <w:rFonts w:cs="Times New Roman"/>
          <w:lang w:val="en-AU"/>
        </w:rPr>
        <w:t xml:space="preserve"> As a remedy, the </w:t>
      </w:r>
      <w:r w:rsidR="00DA7345">
        <w:rPr>
          <w:rFonts w:cs="Times New Roman"/>
          <w:lang w:val="en-AU"/>
        </w:rPr>
        <w:t>Zone Allowances</w:t>
      </w:r>
      <w:r>
        <w:rPr>
          <w:rFonts w:cs="Times New Roman"/>
          <w:lang w:val="en-AU"/>
        </w:rPr>
        <w:t xml:space="preserve"> Inquiry recommended that the quantum of the amounts be reviewed every five years.</w:t>
      </w:r>
      <w:r>
        <w:rPr>
          <w:rStyle w:val="FootnoteReference"/>
          <w:rFonts w:cs="Times New Roman"/>
          <w:lang w:val="en-AU"/>
        </w:rPr>
        <w:footnoteReference w:id="197"/>
      </w:r>
      <w:r>
        <w:rPr>
          <w:rFonts w:cs="Times New Roman"/>
          <w:lang w:val="en-AU"/>
        </w:rPr>
        <w:t xml:space="preserve"> This was not implemented</w:t>
      </w:r>
      <w:r w:rsidR="00623545">
        <w:rPr>
          <w:rFonts w:cs="Times New Roman"/>
          <w:lang w:val="en-AU"/>
        </w:rPr>
        <w:t>.</w:t>
      </w:r>
      <w:r>
        <w:rPr>
          <w:rFonts w:cs="Times New Roman"/>
          <w:lang w:val="en-AU"/>
        </w:rPr>
        <w:t xml:space="preserve"> </w:t>
      </w:r>
      <w:r w:rsidR="005C6F9D">
        <w:rPr>
          <w:rFonts w:cs="Times New Roman"/>
          <w:lang w:val="en-AU"/>
        </w:rPr>
        <w:t>Currently, t</w:t>
      </w:r>
      <w:r>
        <w:rPr>
          <w:rFonts w:cs="Times New Roman"/>
          <w:lang w:val="en-AU"/>
        </w:rPr>
        <w:t xml:space="preserve">he quantum of the offset </w:t>
      </w:r>
      <w:r w:rsidR="00E93A1A">
        <w:rPr>
          <w:rFonts w:cs="Times New Roman"/>
          <w:lang w:val="en-AU"/>
        </w:rPr>
        <w:t xml:space="preserve">is </w:t>
      </w:r>
      <w:r w:rsidR="005C6F9D">
        <w:rPr>
          <w:rFonts w:cs="Times New Roman"/>
          <w:lang w:val="en-AU"/>
        </w:rPr>
        <w:t>neither</w:t>
      </w:r>
      <w:r w:rsidR="00E93A1A">
        <w:rPr>
          <w:rFonts w:cs="Times New Roman"/>
          <w:lang w:val="en-AU"/>
        </w:rPr>
        <w:t xml:space="preserve"> automatically reviewed </w:t>
      </w:r>
      <w:r w:rsidR="005C6F9D">
        <w:rPr>
          <w:rFonts w:cs="Times New Roman"/>
          <w:lang w:val="en-AU"/>
        </w:rPr>
        <w:t>n</w:t>
      </w:r>
      <w:r w:rsidR="00E93A1A">
        <w:rPr>
          <w:rFonts w:cs="Times New Roman"/>
          <w:lang w:val="en-AU"/>
        </w:rPr>
        <w:t>or indexed</w:t>
      </w:r>
      <w:r>
        <w:rPr>
          <w:rFonts w:cs="Times New Roman"/>
          <w:lang w:val="en-AU"/>
        </w:rPr>
        <w:t>. As the amounts were last increased in 1992, the value of the offset has ‘</w:t>
      </w:r>
      <w:r w:rsidR="00F8270F">
        <w:rPr>
          <w:rFonts w:cs="Times New Roman"/>
          <w:lang w:val="en-AU"/>
        </w:rPr>
        <w:t xml:space="preserve">been </w:t>
      </w:r>
      <w:r>
        <w:rPr>
          <w:rFonts w:cs="Times New Roman"/>
          <w:lang w:val="en-AU"/>
        </w:rPr>
        <w:t>significantly eroded by inflation.’</w:t>
      </w:r>
      <w:r>
        <w:rPr>
          <w:rStyle w:val="FootnoteReference"/>
          <w:rFonts w:cs="Times New Roman"/>
          <w:lang w:val="en-AU"/>
        </w:rPr>
        <w:footnoteReference w:id="198"/>
      </w:r>
    </w:p>
    <w:p w14:paraId="07F877FA" w14:textId="5731603E" w:rsidR="00FB7090" w:rsidRDefault="008501E8" w:rsidP="008E4B6C">
      <w:pPr>
        <w:spacing w:line="480" w:lineRule="auto"/>
        <w:ind w:firstLine="720"/>
        <w:rPr>
          <w:rFonts w:cs="Times New Roman"/>
          <w:lang w:val="en-AU"/>
        </w:rPr>
      </w:pPr>
      <w:r>
        <w:rPr>
          <w:rFonts w:cs="Times New Roman"/>
          <w:lang w:val="en-AU"/>
        </w:rPr>
        <w:t>Both of t</w:t>
      </w:r>
      <w:r w:rsidR="007810BA">
        <w:rPr>
          <w:rFonts w:cs="Times New Roman"/>
          <w:lang w:val="en-AU"/>
        </w:rPr>
        <w:t>hese</w:t>
      </w:r>
      <w:r w:rsidR="00FB7090">
        <w:rPr>
          <w:rFonts w:cs="Times New Roman"/>
          <w:lang w:val="en-AU"/>
        </w:rPr>
        <w:t xml:space="preserve"> argument</w:t>
      </w:r>
      <w:r w:rsidR="007810BA">
        <w:rPr>
          <w:rFonts w:cs="Times New Roman"/>
          <w:lang w:val="en-AU"/>
        </w:rPr>
        <w:t>s collapse</w:t>
      </w:r>
      <w:r w:rsidR="00FB7090">
        <w:rPr>
          <w:rFonts w:cs="Times New Roman"/>
          <w:lang w:val="en-AU"/>
        </w:rPr>
        <w:t xml:space="preserve"> into a complaint that the offset is not as effective as it could be. </w:t>
      </w:r>
      <w:r w:rsidR="007810BA">
        <w:rPr>
          <w:rFonts w:cs="Times New Roman"/>
          <w:lang w:val="en-AU"/>
        </w:rPr>
        <w:t>However, t</w:t>
      </w:r>
      <w:r w:rsidR="00FB7090">
        <w:rPr>
          <w:rFonts w:cs="Times New Roman"/>
          <w:lang w:val="en-AU"/>
        </w:rPr>
        <w:t>hat does not mean it is not suitable</w:t>
      </w:r>
      <w:r w:rsidR="00623545">
        <w:rPr>
          <w:rFonts w:cs="Times New Roman"/>
          <w:lang w:val="en-AU"/>
        </w:rPr>
        <w:t xml:space="preserve"> (that is</w:t>
      </w:r>
      <w:r w:rsidR="00FB7090">
        <w:rPr>
          <w:rFonts w:cs="Times New Roman"/>
          <w:lang w:val="en-AU"/>
        </w:rPr>
        <w:t>, able to further its objectives</w:t>
      </w:r>
      <w:r w:rsidR="00623545">
        <w:rPr>
          <w:rFonts w:cs="Times New Roman"/>
          <w:lang w:val="en-AU"/>
        </w:rPr>
        <w:t>)</w:t>
      </w:r>
      <w:r w:rsidR="00FB7090">
        <w:rPr>
          <w:rFonts w:cs="Times New Roman"/>
          <w:lang w:val="en-AU"/>
        </w:rPr>
        <w:t xml:space="preserve">. </w:t>
      </w:r>
      <w:r w:rsidR="007810BA">
        <w:rPr>
          <w:rFonts w:cs="Times New Roman"/>
          <w:lang w:val="en-AU"/>
        </w:rPr>
        <w:t xml:space="preserve">The offset clearly furthers </w:t>
      </w:r>
      <w:r w:rsidR="00B254DB">
        <w:rPr>
          <w:rFonts w:cs="Times New Roman"/>
          <w:lang w:val="en-AU"/>
        </w:rPr>
        <w:t xml:space="preserve">and has a rational connection with </w:t>
      </w:r>
      <w:r w:rsidR="007810BA">
        <w:rPr>
          <w:rFonts w:cs="Times New Roman"/>
          <w:lang w:val="en-AU"/>
        </w:rPr>
        <w:t>its objectives</w:t>
      </w:r>
      <w:r w:rsidR="00995332">
        <w:rPr>
          <w:rFonts w:cs="Times New Roman"/>
          <w:lang w:val="en-AU"/>
        </w:rPr>
        <w:t xml:space="preserve"> </w:t>
      </w:r>
      <w:r>
        <w:rPr>
          <w:rFonts w:cs="Times New Roman"/>
          <w:lang w:val="en-AU"/>
        </w:rPr>
        <w:t>by providing</w:t>
      </w:r>
      <w:r w:rsidR="00995332">
        <w:rPr>
          <w:rFonts w:cs="Times New Roman"/>
          <w:lang w:val="en-AU"/>
        </w:rPr>
        <w:t xml:space="preserve"> monetary i</w:t>
      </w:r>
      <w:r w:rsidR="00131DB9">
        <w:rPr>
          <w:rFonts w:cs="Times New Roman"/>
          <w:lang w:val="en-AU"/>
        </w:rPr>
        <w:t>nducement/compensation</w:t>
      </w:r>
      <w:r>
        <w:rPr>
          <w:rFonts w:cs="Times New Roman"/>
          <w:lang w:val="en-AU"/>
        </w:rPr>
        <w:t xml:space="preserve"> to </w:t>
      </w:r>
      <w:r w:rsidR="00AB649B">
        <w:rPr>
          <w:rFonts w:cs="Times New Roman"/>
          <w:lang w:val="en-AU"/>
        </w:rPr>
        <w:t xml:space="preserve">remote residents, but limits the quantum </w:t>
      </w:r>
      <w:r w:rsidR="00433038">
        <w:rPr>
          <w:rFonts w:cs="Times New Roman"/>
          <w:lang w:val="en-AU"/>
        </w:rPr>
        <w:t>of that inducement/compensation</w:t>
      </w:r>
      <w:r w:rsidR="007810BA">
        <w:rPr>
          <w:rFonts w:cs="Times New Roman"/>
          <w:lang w:val="en-AU"/>
        </w:rPr>
        <w:t xml:space="preserve">. Nothing in the </w:t>
      </w:r>
      <w:r w:rsidR="00131DB9">
        <w:rPr>
          <w:rFonts w:cs="Times New Roman"/>
          <w:lang w:val="en-AU"/>
        </w:rPr>
        <w:t>suitability test</w:t>
      </w:r>
      <w:r w:rsidR="007810BA">
        <w:rPr>
          <w:rFonts w:cs="Times New Roman"/>
          <w:lang w:val="en-AU"/>
        </w:rPr>
        <w:t xml:space="preserve"> mandates that </w:t>
      </w:r>
      <w:r w:rsidR="00131DB9">
        <w:rPr>
          <w:rFonts w:cs="Times New Roman"/>
          <w:lang w:val="en-AU"/>
        </w:rPr>
        <w:t>provision</w:t>
      </w:r>
      <w:r w:rsidR="00AB649B">
        <w:rPr>
          <w:rFonts w:cs="Times New Roman"/>
          <w:lang w:val="en-AU"/>
        </w:rPr>
        <w:t>s</w:t>
      </w:r>
      <w:r w:rsidR="007810BA">
        <w:rPr>
          <w:rFonts w:cs="Times New Roman"/>
          <w:lang w:val="en-AU"/>
        </w:rPr>
        <w:t xml:space="preserve"> perfectly </w:t>
      </w:r>
      <w:r w:rsidR="00131DB9">
        <w:rPr>
          <w:rFonts w:cs="Times New Roman"/>
          <w:lang w:val="en-AU"/>
        </w:rPr>
        <w:t xml:space="preserve">and </w:t>
      </w:r>
      <w:r w:rsidR="00AB649B">
        <w:rPr>
          <w:rFonts w:cs="Times New Roman"/>
          <w:lang w:val="en-AU"/>
        </w:rPr>
        <w:t>consistently achieve their</w:t>
      </w:r>
      <w:r w:rsidR="007810BA">
        <w:rPr>
          <w:rFonts w:cs="Times New Roman"/>
          <w:lang w:val="en-AU"/>
        </w:rPr>
        <w:t xml:space="preserve"> objectives</w:t>
      </w:r>
      <w:r w:rsidR="00AB649B">
        <w:rPr>
          <w:rFonts w:cs="Times New Roman"/>
          <w:lang w:val="en-AU"/>
        </w:rPr>
        <w:t xml:space="preserve"> to the same </w:t>
      </w:r>
      <w:r w:rsidR="0010311A">
        <w:rPr>
          <w:rFonts w:cs="Times New Roman"/>
          <w:lang w:val="en-AU"/>
        </w:rPr>
        <w:t>extent</w:t>
      </w:r>
      <w:r w:rsidR="00AB649B">
        <w:rPr>
          <w:rFonts w:cs="Times New Roman"/>
          <w:lang w:val="en-AU"/>
        </w:rPr>
        <w:t xml:space="preserve"> every year</w:t>
      </w:r>
      <w:r w:rsidR="007810BA">
        <w:rPr>
          <w:rFonts w:cs="Times New Roman"/>
          <w:lang w:val="en-AU"/>
        </w:rPr>
        <w:t>. Indeed, such a</w:t>
      </w:r>
      <w:r w:rsidR="00131DB9">
        <w:rPr>
          <w:rFonts w:cs="Times New Roman"/>
          <w:lang w:val="en-AU"/>
        </w:rPr>
        <w:t>n extreme</w:t>
      </w:r>
      <w:r w:rsidR="00EA7844">
        <w:rPr>
          <w:rFonts w:cs="Times New Roman"/>
          <w:lang w:val="en-AU"/>
        </w:rPr>
        <w:t xml:space="preserve"> requirement might necessarily </w:t>
      </w:r>
      <w:r w:rsidR="00131DB9">
        <w:rPr>
          <w:rFonts w:cs="Times New Roman"/>
          <w:lang w:val="en-AU"/>
        </w:rPr>
        <w:t>mean that the provision</w:t>
      </w:r>
      <w:r w:rsidR="007810BA">
        <w:rPr>
          <w:rFonts w:cs="Times New Roman"/>
          <w:lang w:val="en-AU"/>
        </w:rPr>
        <w:t xml:space="preserve"> implementing it would not pass the </w:t>
      </w:r>
      <w:r w:rsidR="00131DB9">
        <w:rPr>
          <w:rFonts w:cs="Times New Roman"/>
          <w:lang w:val="en-AU"/>
        </w:rPr>
        <w:t>necessity</w:t>
      </w:r>
      <w:r w:rsidR="007810BA">
        <w:rPr>
          <w:rFonts w:cs="Times New Roman"/>
          <w:lang w:val="en-AU"/>
        </w:rPr>
        <w:t xml:space="preserve"> and </w:t>
      </w:r>
      <w:r w:rsidR="00131DB9">
        <w:rPr>
          <w:rFonts w:cs="Times New Roman"/>
          <w:lang w:val="en-AU"/>
        </w:rPr>
        <w:t>adequate</w:t>
      </w:r>
      <w:r w:rsidR="007810BA">
        <w:rPr>
          <w:rFonts w:cs="Times New Roman"/>
          <w:lang w:val="en-AU"/>
        </w:rPr>
        <w:t xml:space="preserve"> balance tests. In relation to the </w:t>
      </w:r>
      <w:r w:rsidR="00DD7CBE">
        <w:rPr>
          <w:rFonts w:cs="Times New Roman"/>
          <w:lang w:val="en-AU"/>
        </w:rPr>
        <w:t>advantages that residents could gain if the offset was instead a</w:t>
      </w:r>
      <w:r w:rsidR="007810BA">
        <w:rPr>
          <w:rFonts w:cs="Times New Roman"/>
          <w:lang w:val="en-AU"/>
        </w:rPr>
        <w:t xml:space="preserve"> deduction, </w:t>
      </w:r>
      <w:r w:rsidR="00FB7090">
        <w:rPr>
          <w:rFonts w:cs="Times New Roman"/>
          <w:lang w:val="en-AU"/>
        </w:rPr>
        <w:t xml:space="preserve">the High Court </w:t>
      </w:r>
      <w:r w:rsidR="008C5D3D">
        <w:rPr>
          <w:rFonts w:cs="Times New Roman"/>
          <w:lang w:val="en-AU"/>
        </w:rPr>
        <w:t xml:space="preserve">in </w:t>
      </w:r>
      <w:r w:rsidR="008C5D3D">
        <w:rPr>
          <w:rFonts w:cs="Times New Roman"/>
          <w:i/>
          <w:lang w:val="en-AU"/>
        </w:rPr>
        <w:t xml:space="preserve">Fortescue </w:t>
      </w:r>
      <w:r w:rsidR="00FB7090">
        <w:rPr>
          <w:rFonts w:cs="Times New Roman"/>
          <w:lang w:val="en-AU"/>
        </w:rPr>
        <w:t>unanimously held that the fact that the challenged provisions operated as an offset rather than a deduction was irrelevant.</w:t>
      </w:r>
      <w:r w:rsidR="00BE1261">
        <w:rPr>
          <w:rStyle w:val="FootnoteReference"/>
          <w:rFonts w:cs="Times New Roman"/>
          <w:lang w:val="en-AU"/>
        </w:rPr>
        <w:footnoteReference w:id="199"/>
      </w:r>
    </w:p>
    <w:p w14:paraId="57CCAE5C" w14:textId="09EAB771" w:rsidR="00FB7090" w:rsidRDefault="00131DB9" w:rsidP="008E4B6C">
      <w:pPr>
        <w:spacing w:line="480" w:lineRule="auto"/>
        <w:ind w:firstLine="720"/>
        <w:rPr>
          <w:rFonts w:cs="Times New Roman"/>
          <w:lang w:val="en-AU"/>
        </w:rPr>
      </w:pPr>
      <w:r>
        <w:rPr>
          <w:rFonts w:cs="Times New Roman"/>
          <w:lang w:val="en-AU"/>
        </w:rPr>
        <w:lastRenderedPageBreak/>
        <w:t xml:space="preserve">A more problematic suitability issue is whether the zone tax offset does in fact encourage regional development. </w:t>
      </w:r>
      <w:r w:rsidR="001205D7">
        <w:rPr>
          <w:rFonts w:cs="Times New Roman"/>
          <w:lang w:val="en-AU"/>
        </w:rPr>
        <w:t xml:space="preserve">On this point, the limited commentary is equivocal. The </w:t>
      </w:r>
      <w:r w:rsidR="00DA7345">
        <w:rPr>
          <w:rFonts w:cs="Times New Roman"/>
          <w:lang w:val="en-AU"/>
        </w:rPr>
        <w:t>Zone Allowances</w:t>
      </w:r>
      <w:r w:rsidR="001205D7">
        <w:rPr>
          <w:rFonts w:cs="Times New Roman"/>
          <w:lang w:val="en-AU"/>
        </w:rPr>
        <w:t xml:space="preserve"> Inquiry ‘noted that, while the effects of zone allowances on development may have been of significance at the time of their introduction in 1945, they could onl</w:t>
      </w:r>
      <w:r w:rsidR="002055EF">
        <w:rPr>
          <w:rFonts w:cs="Times New Roman"/>
          <w:lang w:val="en-AU"/>
        </w:rPr>
        <w:t>y be described as minimal today.</w:t>
      </w:r>
      <w:r w:rsidR="001205D7">
        <w:rPr>
          <w:rFonts w:cs="Times New Roman"/>
          <w:lang w:val="en-AU"/>
        </w:rPr>
        <w:t>’</w:t>
      </w:r>
      <w:r w:rsidR="00937F08">
        <w:rPr>
          <w:rStyle w:val="FootnoteReference"/>
          <w:rFonts w:cs="Times New Roman"/>
          <w:lang w:val="en-AU"/>
        </w:rPr>
        <w:footnoteReference w:id="200"/>
      </w:r>
      <w:r w:rsidR="001205D7">
        <w:rPr>
          <w:rFonts w:cs="Times New Roman"/>
          <w:lang w:val="en-AU"/>
        </w:rPr>
        <w:t xml:space="preserve"> </w:t>
      </w:r>
      <w:r w:rsidR="00937F08">
        <w:rPr>
          <w:rFonts w:cs="Times New Roman"/>
          <w:lang w:val="en-AU"/>
        </w:rPr>
        <w:t>It thought that the offset was ‘a poor vehicle to dispense any decentralisation’ because it ‘dissipates resources thinly and unselectively’.</w:t>
      </w:r>
      <w:r w:rsidR="00937F08">
        <w:rPr>
          <w:rStyle w:val="FootnoteReference"/>
          <w:rFonts w:cs="Times New Roman"/>
          <w:lang w:val="en-AU"/>
        </w:rPr>
        <w:footnoteReference w:id="201"/>
      </w:r>
      <w:r w:rsidR="006E1312">
        <w:rPr>
          <w:rFonts w:cs="Times New Roman"/>
          <w:lang w:val="en-AU"/>
        </w:rPr>
        <w:t xml:space="preserve"> In contrast, Manning argued that </w:t>
      </w:r>
      <w:r w:rsidR="00F126F1">
        <w:rPr>
          <w:rFonts w:cs="Times New Roman"/>
          <w:lang w:val="en-AU"/>
        </w:rPr>
        <w:t>the offset does encourage development primarily by assisting in the provision of remote infrastructure and reducing high levels of uninsurable risks in remote export industries.</w:t>
      </w:r>
      <w:r w:rsidR="00F126F1">
        <w:rPr>
          <w:rStyle w:val="FootnoteReference"/>
          <w:rFonts w:cs="Times New Roman"/>
          <w:lang w:val="en-AU"/>
        </w:rPr>
        <w:footnoteReference w:id="202"/>
      </w:r>
      <w:r w:rsidR="00F126F1">
        <w:rPr>
          <w:rFonts w:cs="Times New Roman"/>
          <w:lang w:val="en-AU"/>
        </w:rPr>
        <w:t xml:space="preserve"> </w:t>
      </w:r>
      <w:r w:rsidR="00FF3A78">
        <w:rPr>
          <w:rFonts w:cs="Times New Roman"/>
          <w:lang w:val="en-AU"/>
        </w:rPr>
        <w:t>Again, t</w:t>
      </w:r>
      <w:r w:rsidR="00F126F1">
        <w:rPr>
          <w:rFonts w:cs="Times New Roman"/>
          <w:lang w:val="en-AU"/>
        </w:rPr>
        <w:t xml:space="preserve">his is a dispute over economic efficiency, which is a matter for economists and irrelevant for the reasons </w:t>
      </w:r>
      <w:r w:rsidR="00DD7CBE">
        <w:rPr>
          <w:rFonts w:cs="Times New Roman"/>
          <w:lang w:val="en-AU"/>
        </w:rPr>
        <w:t>just</w:t>
      </w:r>
      <w:r w:rsidR="00F126F1">
        <w:rPr>
          <w:rFonts w:cs="Times New Roman"/>
          <w:lang w:val="en-AU"/>
        </w:rPr>
        <w:t xml:space="preserve"> given.</w:t>
      </w:r>
    </w:p>
    <w:p w14:paraId="5B0E8788" w14:textId="466426F9" w:rsidR="00B03632" w:rsidRDefault="00D411A0" w:rsidP="008E4B6C">
      <w:pPr>
        <w:spacing w:line="480" w:lineRule="auto"/>
        <w:ind w:firstLine="720"/>
        <w:rPr>
          <w:rFonts w:cs="Times New Roman"/>
          <w:lang w:val="en-AU"/>
        </w:rPr>
      </w:pPr>
      <w:r>
        <w:rPr>
          <w:rFonts w:cs="Times New Roman"/>
          <w:lang w:val="en-AU"/>
        </w:rPr>
        <w:t>W</w:t>
      </w:r>
      <w:r w:rsidR="00A04C38">
        <w:rPr>
          <w:rFonts w:cs="Times New Roman"/>
          <w:lang w:val="en-AU"/>
        </w:rPr>
        <w:t>hat</w:t>
      </w:r>
      <w:r w:rsidR="00F126F1">
        <w:rPr>
          <w:rFonts w:cs="Times New Roman"/>
          <w:lang w:val="en-AU"/>
        </w:rPr>
        <w:t xml:space="preserve"> is relevant </w:t>
      </w:r>
      <w:r w:rsidR="00A04C38">
        <w:rPr>
          <w:rFonts w:cs="Times New Roman"/>
          <w:lang w:val="en-AU"/>
        </w:rPr>
        <w:t xml:space="preserve">is </w:t>
      </w:r>
      <w:r w:rsidR="00F126F1">
        <w:rPr>
          <w:rFonts w:cs="Times New Roman"/>
          <w:lang w:val="en-AU"/>
        </w:rPr>
        <w:t>that</w:t>
      </w:r>
      <w:r w:rsidR="00F31006">
        <w:rPr>
          <w:rFonts w:cs="Times New Roman"/>
          <w:lang w:val="en-AU"/>
        </w:rPr>
        <w:t xml:space="preserve"> the offset has always been restricted to individual residents and unavailable to companies or trustees. </w:t>
      </w:r>
      <w:r w:rsidR="006E6624">
        <w:rPr>
          <w:rFonts w:cs="Times New Roman"/>
          <w:lang w:val="en-AU"/>
        </w:rPr>
        <w:t>Surely</w:t>
      </w:r>
      <w:r w:rsidR="00B03632">
        <w:rPr>
          <w:rFonts w:cs="Times New Roman"/>
          <w:lang w:val="en-AU"/>
        </w:rPr>
        <w:t xml:space="preserve"> if </w:t>
      </w:r>
      <w:r w:rsidR="00FF3A78">
        <w:rPr>
          <w:rFonts w:cs="Times New Roman"/>
          <w:lang w:val="en-AU"/>
        </w:rPr>
        <w:t>the offset is</w:t>
      </w:r>
      <w:r w:rsidR="00B03632">
        <w:rPr>
          <w:rFonts w:cs="Times New Roman"/>
          <w:lang w:val="en-AU"/>
        </w:rPr>
        <w:t xml:space="preserve"> intended to encourage regional development, </w:t>
      </w:r>
      <w:r w:rsidR="00FF3A78">
        <w:rPr>
          <w:rFonts w:cs="Times New Roman"/>
          <w:lang w:val="en-AU"/>
        </w:rPr>
        <w:t>it</w:t>
      </w:r>
      <w:r w:rsidR="00B03632">
        <w:rPr>
          <w:rFonts w:cs="Times New Roman"/>
          <w:lang w:val="en-AU"/>
        </w:rPr>
        <w:t xml:space="preserve"> should be available to all legal persons who </w:t>
      </w:r>
      <w:r w:rsidR="00F12894">
        <w:rPr>
          <w:rFonts w:cs="Times New Roman"/>
          <w:lang w:val="en-AU"/>
        </w:rPr>
        <w:t>derive income from</w:t>
      </w:r>
      <w:r w:rsidR="006653A6">
        <w:rPr>
          <w:rFonts w:cs="Times New Roman"/>
          <w:lang w:val="en-AU"/>
        </w:rPr>
        <w:t xml:space="preserve"> regional areas.</w:t>
      </w:r>
      <w:r w:rsidR="00B03632">
        <w:rPr>
          <w:rFonts w:cs="Times New Roman"/>
          <w:lang w:val="en-AU"/>
        </w:rPr>
        <w:t xml:space="preserve"> Alternatively, it</w:t>
      </w:r>
      <w:r w:rsidR="006E6624">
        <w:rPr>
          <w:rFonts w:cs="Times New Roman"/>
          <w:lang w:val="en-AU"/>
        </w:rPr>
        <w:t>s restriction to individuals</w:t>
      </w:r>
      <w:r w:rsidR="00B03632">
        <w:rPr>
          <w:rFonts w:cs="Times New Roman"/>
          <w:lang w:val="en-AU"/>
        </w:rPr>
        <w:t xml:space="preserve"> may simply reflect arguments that corporate residence is easy to relocate without relocating </w:t>
      </w:r>
      <w:r w:rsidR="006608D5">
        <w:rPr>
          <w:rFonts w:cs="Times New Roman"/>
          <w:lang w:val="en-AU"/>
        </w:rPr>
        <w:t>substantive business activities or</w:t>
      </w:r>
      <w:r w:rsidR="00B03632">
        <w:rPr>
          <w:rFonts w:cs="Times New Roman"/>
          <w:lang w:val="en-AU"/>
        </w:rPr>
        <w:t xml:space="preserve"> that allowing companies and</w:t>
      </w:r>
      <w:r w:rsidR="00F6319E">
        <w:rPr>
          <w:rFonts w:cs="Times New Roman"/>
          <w:lang w:val="en-AU"/>
        </w:rPr>
        <w:t xml:space="preserve"> trustees to access the offset c</w:t>
      </w:r>
      <w:r w:rsidR="00B03632">
        <w:rPr>
          <w:rFonts w:cs="Times New Roman"/>
          <w:lang w:val="en-AU"/>
        </w:rPr>
        <w:t xml:space="preserve">ould effectively </w:t>
      </w:r>
      <w:r w:rsidR="00DC612B">
        <w:rPr>
          <w:rFonts w:cs="Times New Roman"/>
          <w:lang w:val="en-AU"/>
        </w:rPr>
        <w:t>give</w:t>
      </w:r>
      <w:r w:rsidR="00B03632">
        <w:rPr>
          <w:rFonts w:cs="Times New Roman"/>
          <w:lang w:val="en-AU"/>
        </w:rPr>
        <w:t xml:space="preserve"> the </w:t>
      </w:r>
      <w:r w:rsidR="0010311A">
        <w:rPr>
          <w:rFonts w:cs="Times New Roman"/>
          <w:lang w:val="en-AU"/>
        </w:rPr>
        <w:t>beneficial</w:t>
      </w:r>
      <w:r w:rsidR="00B03632">
        <w:rPr>
          <w:rFonts w:cs="Times New Roman"/>
          <w:lang w:val="en-AU"/>
        </w:rPr>
        <w:t xml:space="preserve"> owners of those companies and trusts </w:t>
      </w:r>
      <w:r w:rsidR="00DC612B">
        <w:rPr>
          <w:rFonts w:cs="Times New Roman"/>
          <w:lang w:val="en-AU"/>
        </w:rPr>
        <w:t xml:space="preserve">a </w:t>
      </w:r>
      <w:r w:rsidR="00B03632">
        <w:rPr>
          <w:rFonts w:cs="Times New Roman"/>
          <w:lang w:val="en-AU"/>
        </w:rPr>
        <w:t xml:space="preserve">double </w:t>
      </w:r>
      <w:r w:rsidR="00DC612B">
        <w:rPr>
          <w:rFonts w:cs="Times New Roman"/>
          <w:lang w:val="en-AU"/>
        </w:rPr>
        <w:t>offset</w:t>
      </w:r>
      <w:r w:rsidR="006608D5">
        <w:rPr>
          <w:rFonts w:cs="Times New Roman"/>
          <w:lang w:val="en-AU"/>
        </w:rPr>
        <w:t>.</w:t>
      </w:r>
      <w:r w:rsidR="00F74250">
        <w:rPr>
          <w:rStyle w:val="FootnoteReference"/>
          <w:rFonts w:cs="Times New Roman"/>
          <w:lang w:val="en-AU"/>
        </w:rPr>
        <w:footnoteReference w:id="203"/>
      </w:r>
      <w:r w:rsidR="006608D5">
        <w:rPr>
          <w:rFonts w:cs="Times New Roman"/>
          <w:lang w:val="en-AU"/>
        </w:rPr>
        <w:t xml:space="preserve"> </w:t>
      </w:r>
      <w:r w:rsidR="006E6624">
        <w:rPr>
          <w:rFonts w:cs="Times New Roman"/>
          <w:lang w:val="en-AU"/>
        </w:rPr>
        <w:t xml:space="preserve">Ultimately, the issue is moot because the offset has dual objectives and </w:t>
      </w:r>
      <w:r w:rsidR="00F12894">
        <w:rPr>
          <w:rFonts w:cs="Times New Roman"/>
          <w:lang w:val="en-AU"/>
        </w:rPr>
        <w:t>i</w:t>
      </w:r>
      <w:r w:rsidR="004C658B">
        <w:rPr>
          <w:rFonts w:cs="Times New Roman"/>
          <w:lang w:val="en-AU"/>
        </w:rPr>
        <w:t>f i</w:t>
      </w:r>
      <w:r w:rsidR="00F12894">
        <w:rPr>
          <w:rFonts w:cs="Times New Roman"/>
          <w:lang w:val="en-AU"/>
        </w:rPr>
        <w:t xml:space="preserve">t is </w:t>
      </w:r>
      <w:r w:rsidR="004C658B">
        <w:rPr>
          <w:rFonts w:cs="Times New Roman"/>
          <w:lang w:val="en-AU"/>
        </w:rPr>
        <w:t>un</w:t>
      </w:r>
      <w:r w:rsidR="00F12894">
        <w:rPr>
          <w:rFonts w:cs="Times New Roman"/>
          <w:lang w:val="en-AU"/>
        </w:rPr>
        <w:t>su</w:t>
      </w:r>
      <w:r w:rsidR="004C658B">
        <w:rPr>
          <w:rFonts w:cs="Times New Roman"/>
          <w:lang w:val="en-AU"/>
        </w:rPr>
        <w:t>itable to encourage development, its</w:t>
      </w:r>
      <w:r w:rsidR="00F12894">
        <w:rPr>
          <w:rFonts w:cs="Times New Roman"/>
          <w:lang w:val="en-AU"/>
        </w:rPr>
        <w:t xml:space="preserve"> objective of compensating residents remains</w:t>
      </w:r>
      <w:r w:rsidR="006E6624">
        <w:rPr>
          <w:rFonts w:cs="Times New Roman"/>
          <w:lang w:val="en-AU"/>
        </w:rPr>
        <w:t>. Failure of the development objective may, nonetheless, narrow the ability for the offset provisions to satisfy the necessity and adequate balance tests.</w:t>
      </w:r>
    </w:p>
    <w:p w14:paraId="507B52E9" w14:textId="18BF6230" w:rsidR="002F16D6" w:rsidRDefault="006E6624" w:rsidP="008E4B6C">
      <w:pPr>
        <w:spacing w:line="480" w:lineRule="auto"/>
        <w:ind w:firstLine="720"/>
        <w:rPr>
          <w:rFonts w:cs="Times New Roman"/>
          <w:lang w:val="en-AU"/>
        </w:rPr>
      </w:pPr>
      <w:r>
        <w:rPr>
          <w:rFonts w:cs="Times New Roman"/>
          <w:lang w:val="en-AU"/>
        </w:rPr>
        <w:t xml:space="preserve">Moving away from suitability issues, </w:t>
      </w:r>
      <w:r w:rsidR="00131DB9" w:rsidRPr="006E6624">
        <w:rPr>
          <w:rFonts w:cs="Times New Roman"/>
          <w:lang w:val="en-AU"/>
        </w:rPr>
        <w:t xml:space="preserve">the fact that the offset is available to non-employees raises issues of necessity and balancing. When section 79A was originally enacted, the Treasurer emphasised that it was designed to ensure that employees </w:t>
      </w:r>
      <w:r w:rsidR="00131DB9" w:rsidRPr="006E6624">
        <w:rPr>
          <w:rFonts w:cs="Times New Roman"/>
          <w:i/>
          <w:lang w:val="en-AU"/>
        </w:rPr>
        <w:t xml:space="preserve">paid special </w:t>
      </w:r>
      <w:r w:rsidR="00131DB9" w:rsidRPr="006E6624">
        <w:rPr>
          <w:rFonts w:cs="Times New Roman"/>
          <w:i/>
          <w:lang w:val="en-AU"/>
        </w:rPr>
        <w:lastRenderedPageBreak/>
        <w:t>allowances</w:t>
      </w:r>
      <w:r w:rsidR="00131DB9" w:rsidRPr="006E6624">
        <w:rPr>
          <w:rFonts w:cs="Times New Roman"/>
          <w:lang w:val="en-AU"/>
        </w:rPr>
        <w:t xml:space="preserve"> did not lose the value of those allowances due to the prevailing high marginal tax rates.</w:t>
      </w:r>
      <w:r w:rsidR="00391CF0">
        <w:rPr>
          <w:rStyle w:val="FootnoteReference"/>
          <w:rFonts w:cs="Times New Roman"/>
          <w:lang w:val="en-AU"/>
        </w:rPr>
        <w:footnoteReference w:id="204"/>
      </w:r>
      <w:r w:rsidR="00131DB9" w:rsidRPr="006E6624">
        <w:rPr>
          <w:rFonts w:cs="Times New Roman"/>
          <w:lang w:val="en-AU"/>
        </w:rPr>
        <w:t xml:space="preserve"> Yet despite this, the offset is available to all residents of the prescribed area and is not restricted to </w:t>
      </w:r>
      <w:r w:rsidR="00D411A0">
        <w:rPr>
          <w:rFonts w:cs="Times New Roman"/>
          <w:lang w:val="en-AU"/>
        </w:rPr>
        <w:t xml:space="preserve">resident </w:t>
      </w:r>
      <w:r w:rsidR="00131DB9" w:rsidRPr="006E6624">
        <w:rPr>
          <w:rFonts w:cs="Times New Roman"/>
          <w:lang w:val="en-AU"/>
        </w:rPr>
        <w:t xml:space="preserve">employees, let alone </w:t>
      </w:r>
      <w:r w:rsidR="00D411A0">
        <w:rPr>
          <w:rFonts w:cs="Times New Roman"/>
          <w:lang w:val="en-AU"/>
        </w:rPr>
        <w:t>those</w:t>
      </w:r>
      <w:r w:rsidR="00131DB9" w:rsidRPr="006E6624">
        <w:rPr>
          <w:rFonts w:cs="Times New Roman"/>
          <w:lang w:val="en-AU"/>
        </w:rPr>
        <w:t xml:space="preserve"> in receipt of special allowances.</w:t>
      </w:r>
      <w:bookmarkStart w:id="45" w:name="_Ref444984114"/>
      <w:r w:rsidR="00391CF0">
        <w:rPr>
          <w:rStyle w:val="FootnoteReference"/>
        </w:rPr>
        <w:footnoteReference w:id="205"/>
      </w:r>
      <w:bookmarkEnd w:id="45"/>
      <w:r w:rsidR="00131DB9" w:rsidRPr="006E6624">
        <w:rPr>
          <w:rFonts w:cs="Times New Roman"/>
          <w:lang w:val="en-AU"/>
        </w:rPr>
        <w:t xml:space="preserve"> As such, it</w:t>
      </w:r>
      <w:r w:rsidR="00D411A0">
        <w:rPr>
          <w:rFonts w:cs="Times New Roman"/>
          <w:lang w:val="en-AU"/>
        </w:rPr>
        <w:t xml:space="preserve"> </w:t>
      </w:r>
      <w:r w:rsidR="004C658B">
        <w:rPr>
          <w:rFonts w:cs="Times New Roman"/>
          <w:lang w:val="en-AU"/>
        </w:rPr>
        <w:t>could</w:t>
      </w:r>
      <w:r w:rsidR="00D411A0">
        <w:rPr>
          <w:rFonts w:cs="Times New Roman"/>
          <w:lang w:val="en-AU"/>
        </w:rPr>
        <w:t xml:space="preserve"> be argued </w:t>
      </w:r>
      <w:r w:rsidR="00BE1BFA">
        <w:rPr>
          <w:rFonts w:cs="Times New Roman"/>
          <w:lang w:val="en-AU"/>
        </w:rPr>
        <w:t>that it</w:t>
      </w:r>
      <w:r w:rsidR="00D411A0">
        <w:rPr>
          <w:rFonts w:cs="Times New Roman"/>
          <w:lang w:val="en-AU"/>
        </w:rPr>
        <w:t xml:space="preserve"> bestow</w:t>
      </w:r>
      <w:r w:rsidR="00BE1BFA">
        <w:rPr>
          <w:rFonts w:cs="Times New Roman"/>
          <w:lang w:val="en-AU"/>
        </w:rPr>
        <w:t>s</w:t>
      </w:r>
      <w:r w:rsidR="00131DB9" w:rsidRPr="006E6624">
        <w:rPr>
          <w:rFonts w:cs="Times New Roman"/>
          <w:lang w:val="en-AU"/>
        </w:rPr>
        <w:t xml:space="preserve"> benefits </w:t>
      </w:r>
      <w:r w:rsidR="007D2B8F">
        <w:rPr>
          <w:rFonts w:cs="Times New Roman"/>
          <w:lang w:val="en-AU"/>
        </w:rPr>
        <w:t>too widely</w:t>
      </w:r>
      <w:r w:rsidR="00131DB9" w:rsidRPr="006E6624">
        <w:rPr>
          <w:rFonts w:cs="Times New Roman"/>
          <w:lang w:val="en-AU"/>
        </w:rPr>
        <w:t xml:space="preserve">. However, any such argument </w:t>
      </w:r>
      <w:r w:rsidR="00D411A0">
        <w:rPr>
          <w:rFonts w:cs="Times New Roman"/>
          <w:lang w:val="en-AU"/>
        </w:rPr>
        <w:t>would be misconceived</w:t>
      </w:r>
      <w:r w:rsidR="00D776FC">
        <w:rPr>
          <w:rFonts w:cs="Times New Roman"/>
          <w:lang w:val="en-AU"/>
        </w:rPr>
        <w:t xml:space="preserve"> because it identifies the objective of the offset unnecessarily narrow</w:t>
      </w:r>
      <w:r w:rsidR="00BE1BFA">
        <w:rPr>
          <w:rFonts w:cs="Times New Roman"/>
          <w:lang w:val="en-AU"/>
        </w:rPr>
        <w:t>ly</w:t>
      </w:r>
      <w:r w:rsidR="00D411A0">
        <w:rPr>
          <w:rFonts w:cs="Times New Roman"/>
          <w:lang w:val="en-AU"/>
        </w:rPr>
        <w:t xml:space="preserve">. </w:t>
      </w:r>
    </w:p>
    <w:p w14:paraId="4E9BC802" w14:textId="0B37F6A7" w:rsidR="00D411A0" w:rsidRDefault="005E7237" w:rsidP="008E4B6C">
      <w:pPr>
        <w:spacing w:line="480" w:lineRule="auto"/>
        <w:ind w:firstLine="720"/>
        <w:rPr>
          <w:rFonts w:cs="Times New Roman"/>
          <w:lang w:val="en-AU"/>
        </w:rPr>
      </w:pPr>
      <w:r>
        <w:rPr>
          <w:rFonts w:cs="Times New Roman"/>
          <w:lang w:val="en-AU"/>
        </w:rPr>
        <w:t>The Treasurer’s statements in 1945 were made in a unique historical context. Employment arrangements and the precise details of remuneration change significantly over time. In the modern economy, people have multiple ways of deriving income other than employment. This is confirmed by the explanatory materials to the latest amendments to section 79A,</w:t>
      </w:r>
      <w:r>
        <w:rPr>
          <w:rStyle w:val="FootnoteReference"/>
        </w:rPr>
        <w:footnoteReference w:id="206"/>
      </w:r>
      <w:r>
        <w:rPr>
          <w:rFonts w:cs="Times New Roman"/>
          <w:lang w:val="en-AU"/>
        </w:rPr>
        <w:t xml:space="preserve"> which exclude</w:t>
      </w:r>
      <w:r w:rsidR="00F01A91">
        <w:rPr>
          <w:rFonts w:cs="Times New Roman"/>
          <w:lang w:val="en-AU"/>
        </w:rPr>
        <w:t>d</w:t>
      </w:r>
      <w:r>
        <w:rPr>
          <w:rFonts w:cs="Times New Roman"/>
          <w:lang w:val="en-AU"/>
        </w:rPr>
        <w:t xml:space="preserve"> fly-in fly-out</w:t>
      </w:r>
      <w:r w:rsidR="0010311A">
        <w:rPr>
          <w:rFonts w:cs="Times New Roman"/>
          <w:lang w:val="en-AU"/>
        </w:rPr>
        <w:t xml:space="preserve"> (FIFO)</w:t>
      </w:r>
      <w:r>
        <w:rPr>
          <w:rFonts w:cs="Times New Roman"/>
          <w:lang w:val="en-AU"/>
        </w:rPr>
        <w:t xml:space="preserve"> workers from claim</w:t>
      </w:r>
      <w:r w:rsidR="00F01A91">
        <w:rPr>
          <w:rFonts w:cs="Times New Roman"/>
          <w:lang w:val="en-AU"/>
        </w:rPr>
        <w:t>ing</w:t>
      </w:r>
      <w:r>
        <w:rPr>
          <w:rFonts w:cs="Times New Roman"/>
          <w:lang w:val="en-AU"/>
        </w:rPr>
        <w:t xml:space="preserve"> the offset because </w:t>
      </w:r>
      <w:r>
        <w:t xml:space="preserve">the ‘original intent’ of the zone tax offset was ‘to compensate Australians </w:t>
      </w:r>
      <w:r w:rsidRPr="00532E49">
        <w:rPr>
          <w:i/>
        </w:rPr>
        <w:t>genuinely living</w:t>
      </w:r>
      <w:r>
        <w:t xml:space="preserve"> in these regional areas for certain disadvantages associated with living in such remote areas.’</w:t>
      </w:r>
      <w:r>
        <w:rPr>
          <w:rStyle w:val="FootnoteReference"/>
        </w:rPr>
        <w:footnoteReference w:id="207"/>
      </w:r>
      <w:r>
        <w:rPr>
          <w:rFonts w:cs="Times New Roman"/>
          <w:lang w:val="en-AU"/>
        </w:rPr>
        <w:t xml:space="preserve"> </w:t>
      </w:r>
      <w:r w:rsidR="00D776FC">
        <w:rPr>
          <w:rFonts w:cs="Times New Roman"/>
          <w:lang w:val="en-AU"/>
        </w:rPr>
        <w:t xml:space="preserve">Indeed, </w:t>
      </w:r>
      <w:r>
        <w:rPr>
          <w:rFonts w:cs="Times New Roman"/>
          <w:lang w:val="en-AU"/>
        </w:rPr>
        <w:t>those materials asserted</w:t>
      </w:r>
      <w:r w:rsidR="00D776FC">
        <w:rPr>
          <w:rFonts w:cs="Times New Roman"/>
          <w:lang w:val="en-AU"/>
        </w:rPr>
        <w:t xml:space="preserve"> </w:t>
      </w:r>
      <w:r w:rsidR="00214FF7">
        <w:rPr>
          <w:rFonts w:cs="Times New Roman"/>
          <w:lang w:val="en-AU"/>
        </w:rPr>
        <w:t xml:space="preserve">it </w:t>
      </w:r>
      <w:r>
        <w:rPr>
          <w:rFonts w:cs="Times New Roman"/>
          <w:lang w:val="en-AU"/>
        </w:rPr>
        <w:t>would</w:t>
      </w:r>
      <w:r w:rsidR="00214FF7">
        <w:rPr>
          <w:rFonts w:cs="Times New Roman"/>
          <w:lang w:val="en-AU"/>
        </w:rPr>
        <w:t xml:space="preserve"> be inappropriate for</w:t>
      </w:r>
      <w:r w:rsidR="00D776FC">
        <w:rPr>
          <w:rFonts w:cs="Times New Roman"/>
          <w:lang w:val="en-AU"/>
        </w:rPr>
        <w:t xml:space="preserve"> persons </w:t>
      </w:r>
      <w:r w:rsidR="00BE1BFA">
        <w:rPr>
          <w:rFonts w:cs="Times New Roman"/>
          <w:lang w:val="en-AU"/>
        </w:rPr>
        <w:t xml:space="preserve">already </w:t>
      </w:r>
      <w:r>
        <w:rPr>
          <w:rFonts w:cs="Times New Roman"/>
          <w:lang w:val="en-AU"/>
        </w:rPr>
        <w:t xml:space="preserve">well </w:t>
      </w:r>
      <w:r w:rsidR="00D776FC">
        <w:rPr>
          <w:rFonts w:cs="Times New Roman"/>
          <w:lang w:val="en-AU"/>
        </w:rPr>
        <w:t xml:space="preserve">compensated </w:t>
      </w:r>
      <w:r w:rsidR="00214FF7">
        <w:rPr>
          <w:rFonts w:cs="Times New Roman"/>
          <w:lang w:val="en-AU"/>
        </w:rPr>
        <w:t xml:space="preserve">by their employers </w:t>
      </w:r>
      <w:r w:rsidR="00D776FC">
        <w:rPr>
          <w:rFonts w:cs="Times New Roman"/>
          <w:lang w:val="en-AU"/>
        </w:rPr>
        <w:t xml:space="preserve">for adversities associated with working in remote areas </w:t>
      </w:r>
      <w:r w:rsidR="00214FF7">
        <w:rPr>
          <w:rFonts w:cs="Times New Roman"/>
          <w:lang w:val="en-AU"/>
        </w:rPr>
        <w:t>to</w:t>
      </w:r>
      <w:r w:rsidR="00D776FC">
        <w:rPr>
          <w:rFonts w:cs="Times New Roman"/>
          <w:lang w:val="en-AU"/>
        </w:rPr>
        <w:t xml:space="preserve"> </w:t>
      </w:r>
      <w:r w:rsidR="00214FF7">
        <w:rPr>
          <w:rFonts w:cs="Times New Roman"/>
          <w:lang w:val="en-AU"/>
        </w:rPr>
        <w:t>be entitled</w:t>
      </w:r>
      <w:r w:rsidR="00D776FC">
        <w:rPr>
          <w:rFonts w:cs="Times New Roman"/>
          <w:lang w:val="en-AU"/>
        </w:rPr>
        <w:t xml:space="preserve"> to the </w:t>
      </w:r>
      <w:r w:rsidR="00237C78">
        <w:rPr>
          <w:rFonts w:cs="Times New Roman"/>
          <w:lang w:val="en-AU"/>
        </w:rPr>
        <w:t>offset.</w:t>
      </w:r>
      <w:r>
        <w:rPr>
          <w:rStyle w:val="FootnoteReference"/>
          <w:rFonts w:cs="Times New Roman"/>
          <w:lang w:val="en-AU"/>
        </w:rPr>
        <w:footnoteReference w:id="208"/>
      </w:r>
      <w:r w:rsidR="00214FF7">
        <w:rPr>
          <w:rFonts w:cs="Times New Roman"/>
          <w:lang w:val="en-AU"/>
        </w:rPr>
        <w:t xml:space="preserve"> </w:t>
      </w:r>
      <w:r w:rsidR="00DC612B">
        <w:rPr>
          <w:rFonts w:cs="Times New Roman"/>
          <w:lang w:val="en-AU"/>
        </w:rPr>
        <w:t xml:space="preserve">Consequently, when the </w:t>
      </w:r>
      <w:r w:rsidR="009F74FC">
        <w:rPr>
          <w:rFonts w:cs="Times New Roman"/>
          <w:lang w:val="en-AU"/>
        </w:rPr>
        <w:t xml:space="preserve">broad </w:t>
      </w:r>
      <w:r w:rsidR="00DC612B">
        <w:rPr>
          <w:rFonts w:cs="Times New Roman"/>
          <w:lang w:val="en-AU"/>
        </w:rPr>
        <w:t xml:space="preserve">objective of the offset is understood as compensating people living in remote areas, the fact it is not restricted to employees </w:t>
      </w:r>
      <w:r w:rsidR="004C658B">
        <w:rPr>
          <w:rFonts w:cs="Times New Roman"/>
          <w:lang w:val="en-AU"/>
        </w:rPr>
        <w:t xml:space="preserve">does not mean </w:t>
      </w:r>
      <w:r w:rsidR="002B3F3A">
        <w:rPr>
          <w:rFonts w:cs="Times New Roman"/>
          <w:lang w:val="en-AU"/>
        </w:rPr>
        <w:t xml:space="preserve">that </w:t>
      </w:r>
      <w:r w:rsidR="004C658B">
        <w:rPr>
          <w:rFonts w:cs="Times New Roman"/>
          <w:lang w:val="en-AU"/>
        </w:rPr>
        <w:t xml:space="preserve">it </w:t>
      </w:r>
      <w:r w:rsidR="00166050">
        <w:rPr>
          <w:rFonts w:cs="Times New Roman"/>
          <w:lang w:val="en-AU"/>
        </w:rPr>
        <w:t>goes beyond what is</w:t>
      </w:r>
      <w:r w:rsidR="004C658B">
        <w:rPr>
          <w:rFonts w:cs="Times New Roman"/>
          <w:lang w:val="en-AU"/>
        </w:rPr>
        <w:t xml:space="preserve"> necessary or that it has an overall negative effect</w:t>
      </w:r>
      <w:r w:rsidR="00DC612B">
        <w:rPr>
          <w:rFonts w:cs="Times New Roman"/>
          <w:lang w:val="en-AU"/>
        </w:rPr>
        <w:t>.</w:t>
      </w:r>
    </w:p>
    <w:p w14:paraId="3F25415B" w14:textId="0334F24E" w:rsidR="002F16D6" w:rsidRDefault="003A76A3" w:rsidP="008E4B6C">
      <w:pPr>
        <w:spacing w:line="480" w:lineRule="auto"/>
        <w:ind w:firstLine="720"/>
      </w:pPr>
      <w:r>
        <w:rPr>
          <w:rFonts w:cs="Times New Roman"/>
          <w:lang w:val="en-AU"/>
        </w:rPr>
        <w:t xml:space="preserve">Similar necessity and balancing issues are raised by the </w:t>
      </w:r>
      <w:r w:rsidR="00EA737A">
        <w:rPr>
          <w:rFonts w:cs="Times New Roman"/>
          <w:lang w:val="en-AU"/>
        </w:rPr>
        <w:t>boundaries</w:t>
      </w:r>
      <w:r>
        <w:rPr>
          <w:rFonts w:cs="Times New Roman"/>
          <w:lang w:val="en-AU"/>
        </w:rPr>
        <w:t xml:space="preserve"> of Zones A and B and the special area. </w:t>
      </w:r>
      <w:r w:rsidR="002F16D6">
        <w:rPr>
          <w:rFonts w:cs="Times New Roman"/>
          <w:lang w:val="en-AU"/>
        </w:rPr>
        <w:t xml:space="preserve">Whether the </w:t>
      </w:r>
      <w:r w:rsidR="00B05B03">
        <w:rPr>
          <w:rFonts w:cs="Times New Roman"/>
          <w:lang w:val="en-AU"/>
        </w:rPr>
        <w:t>offset</w:t>
      </w:r>
      <w:r w:rsidR="00355BBD">
        <w:rPr>
          <w:rFonts w:cs="Times New Roman"/>
          <w:lang w:val="en-AU"/>
        </w:rPr>
        <w:t>’s</w:t>
      </w:r>
      <w:r w:rsidR="00B05B03">
        <w:rPr>
          <w:rFonts w:cs="Times New Roman"/>
          <w:lang w:val="en-AU"/>
        </w:rPr>
        <w:t xml:space="preserve"> </w:t>
      </w:r>
      <w:r w:rsidR="00EA737A">
        <w:rPr>
          <w:rFonts w:cs="Times New Roman"/>
          <w:lang w:val="en-AU"/>
        </w:rPr>
        <w:t>boundaries</w:t>
      </w:r>
      <w:r w:rsidR="002F16D6">
        <w:rPr>
          <w:rFonts w:cs="Times New Roman"/>
          <w:lang w:val="en-AU"/>
        </w:rPr>
        <w:t xml:space="preserve"> ever reflected relatively homogenous </w:t>
      </w:r>
      <w:r w:rsidR="002F16D6">
        <w:rPr>
          <w:rFonts w:cs="Times New Roman"/>
          <w:lang w:val="en-AU"/>
        </w:rPr>
        <w:lastRenderedPageBreak/>
        <w:t xml:space="preserve">areas of remoteness is unclear. </w:t>
      </w:r>
      <w:r w:rsidR="002F16D6">
        <w:t>In giving the second reading speech for the amending Bill that inserted section 79A, the Treasurer stated:</w:t>
      </w:r>
    </w:p>
    <w:p w14:paraId="767EDDB5" w14:textId="77777777" w:rsidR="002F16D6" w:rsidRPr="00F97C28" w:rsidRDefault="002F16D6" w:rsidP="002F16D6">
      <w:pPr>
        <w:ind w:left="720"/>
        <w:rPr>
          <w:sz w:val="20"/>
        </w:rPr>
      </w:pPr>
      <w:r>
        <w:rPr>
          <w:sz w:val="20"/>
        </w:rPr>
        <w:t>In prescribing the areas of the respective zones, the factors taken into consideration in determining ‘climatic conditions, isolation and high cost of living’ were rainfall, latitude, distance from centres of population, density of population, predominant industries, rail and road service, and cost of food and groceries. These factors gave a general picture of the areas in respect of which the allowance should be granted.</w:t>
      </w:r>
      <w:r>
        <w:rPr>
          <w:rStyle w:val="FootnoteReference"/>
          <w:sz w:val="20"/>
        </w:rPr>
        <w:footnoteReference w:id="209"/>
      </w:r>
    </w:p>
    <w:p w14:paraId="7C0C5805" w14:textId="77777777" w:rsidR="002F16D6" w:rsidRDefault="002F16D6" w:rsidP="002F16D6"/>
    <w:p w14:paraId="0099ADFC" w14:textId="0C131FDE" w:rsidR="002F16D6" w:rsidRDefault="002F16D6" w:rsidP="008E4B6C">
      <w:pPr>
        <w:spacing w:line="480" w:lineRule="auto"/>
        <w:rPr>
          <w:rFonts w:cs="Times New Roman"/>
          <w:lang w:val="en-AU"/>
        </w:rPr>
      </w:pPr>
      <w:r>
        <w:rPr>
          <w:rFonts w:cs="Times New Roman"/>
          <w:lang w:val="en-AU"/>
        </w:rPr>
        <w:t xml:space="preserve">Neither the speech nor the Explanatory Memorandum gave any further detail. The </w:t>
      </w:r>
      <w:r w:rsidR="00F01A91">
        <w:rPr>
          <w:rFonts w:cs="Times New Roman"/>
          <w:lang w:val="en-AU"/>
        </w:rPr>
        <w:t>Zone Allowances</w:t>
      </w:r>
      <w:r>
        <w:rPr>
          <w:rFonts w:cs="Times New Roman"/>
          <w:lang w:val="en-AU"/>
        </w:rPr>
        <w:t xml:space="preserve"> Inquiry concluded that it was impossible ‘to ascertain how data relevant to the various factors were assembled and from what sources, or how they were collated and weighed for the determination of the 1945 zone boundaries.’</w:t>
      </w:r>
      <w:r>
        <w:rPr>
          <w:rStyle w:val="FootnoteReference"/>
          <w:rFonts w:cs="Times New Roman"/>
          <w:lang w:val="en-AU"/>
        </w:rPr>
        <w:footnoteReference w:id="210"/>
      </w:r>
      <w:r>
        <w:rPr>
          <w:rFonts w:cs="Times New Roman"/>
          <w:lang w:val="en-AU"/>
        </w:rPr>
        <w:t xml:space="preserve"> Put simply, ‘[u]nfortunately, the exact criteria used in the demarcation (if there were any) have been lost.’</w:t>
      </w:r>
      <w:r w:rsidR="00B05B03">
        <w:rPr>
          <w:rStyle w:val="FootnoteReference"/>
          <w:rFonts w:cs="Times New Roman"/>
          <w:lang w:val="en-AU"/>
        </w:rPr>
        <w:footnoteReference w:id="211"/>
      </w:r>
    </w:p>
    <w:p w14:paraId="31453BF3" w14:textId="54DC14FA" w:rsidR="002A41F8" w:rsidRDefault="00DA1955" w:rsidP="008E4B6C">
      <w:pPr>
        <w:spacing w:line="480" w:lineRule="auto"/>
        <w:rPr>
          <w:rFonts w:cs="Times New Roman"/>
          <w:lang w:val="en-AU"/>
        </w:rPr>
      </w:pPr>
      <w:r>
        <w:rPr>
          <w:rFonts w:cs="Times New Roman"/>
          <w:lang w:val="en-AU"/>
        </w:rPr>
        <w:tab/>
        <w:t xml:space="preserve">What is clear is that the </w:t>
      </w:r>
      <w:r w:rsidR="00EA737A">
        <w:rPr>
          <w:rFonts w:cs="Times New Roman"/>
          <w:lang w:val="en-AU"/>
        </w:rPr>
        <w:t>boundaries</w:t>
      </w:r>
      <w:r>
        <w:rPr>
          <w:rFonts w:cs="Times New Roman"/>
          <w:lang w:val="en-AU"/>
        </w:rPr>
        <w:t xml:space="preserve"> have not kept pace with the development of Australia. </w:t>
      </w:r>
      <w:r w:rsidR="00F01A91">
        <w:rPr>
          <w:rFonts w:cs="Times New Roman"/>
          <w:lang w:val="en-AU"/>
        </w:rPr>
        <w:t>A</w:t>
      </w:r>
      <w:r>
        <w:rPr>
          <w:rFonts w:cs="Times New Roman"/>
          <w:lang w:val="en-AU"/>
        </w:rPr>
        <w:t xml:space="preserve">ny changes to the </w:t>
      </w:r>
      <w:r w:rsidR="00EA737A">
        <w:rPr>
          <w:rFonts w:cs="Times New Roman"/>
          <w:lang w:val="en-AU"/>
        </w:rPr>
        <w:t>boundaries</w:t>
      </w:r>
      <w:r>
        <w:rPr>
          <w:rFonts w:cs="Times New Roman"/>
          <w:lang w:val="en-AU"/>
        </w:rPr>
        <w:t xml:space="preserve"> require primary legislation. </w:t>
      </w:r>
      <w:r w:rsidR="002A41F8">
        <w:rPr>
          <w:rFonts w:cs="Times New Roman"/>
          <w:lang w:val="en-AU"/>
        </w:rPr>
        <w:t>D</w:t>
      </w:r>
      <w:r w:rsidR="008414C5">
        <w:rPr>
          <w:rFonts w:cs="Times New Roman"/>
          <w:lang w:val="en-AU"/>
        </w:rPr>
        <w:t>espite the passage of 70 years</w:t>
      </w:r>
      <w:r w:rsidR="000C4E59">
        <w:rPr>
          <w:rFonts w:cs="Times New Roman"/>
          <w:lang w:val="en-AU"/>
        </w:rPr>
        <w:t>,</w:t>
      </w:r>
      <w:r w:rsidR="008414C5">
        <w:rPr>
          <w:rFonts w:cs="Times New Roman"/>
          <w:lang w:val="en-AU"/>
        </w:rPr>
        <w:t xml:space="preserve"> </w:t>
      </w:r>
      <w:r>
        <w:rPr>
          <w:rFonts w:cs="Times New Roman"/>
          <w:lang w:val="en-AU"/>
        </w:rPr>
        <w:t xml:space="preserve">changes to the </w:t>
      </w:r>
      <w:r w:rsidR="00EA737A">
        <w:rPr>
          <w:rFonts w:cs="Times New Roman"/>
          <w:lang w:val="en-AU"/>
        </w:rPr>
        <w:t>boundaries</w:t>
      </w:r>
      <w:r>
        <w:rPr>
          <w:rFonts w:cs="Times New Roman"/>
          <w:lang w:val="en-AU"/>
        </w:rPr>
        <w:t xml:space="preserve"> have been irregular and minor. </w:t>
      </w:r>
      <w:r w:rsidR="002A41F8">
        <w:rPr>
          <w:rFonts w:cs="Times New Roman"/>
          <w:lang w:val="en-AU"/>
        </w:rPr>
        <w:t>T</w:t>
      </w:r>
      <w:r>
        <w:rPr>
          <w:rFonts w:cs="Times New Roman"/>
          <w:lang w:val="en-AU"/>
        </w:rPr>
        <w:t xml:space="preserve">he only </w:t>
      </w:r>
      <w:r w:rsidR="0071140B">
        <w:rPr>
          <w:rFonts w:cs="Times New Roman"/>
          <w:lang w:val="en-AU"/>
        </w:rPr>
        <w:t>major</w:t>
      </w:r>
      <w:r>
        <w:rPr>
          <w:rFonts w:cs="Times New Roman"/>
          <w:lang w:val="en-AU"/>
        </w:rPr>
        <w:t xml:space="preserve"> ch</w:t>
      </w:r>
      <w:r w:rsidR="002A41F8">
        <w:rPr>
          <w:rFonts w:cs="Times New Roman"/>
          <w:lang w:val="en-AU"/>
        </w:rPr>
        <w:t>anges occurred in 1956 and 1982.</w:t>
      </w:r>
      <w:r w:rsidR="002A41F8">
        <w:rPr>
          <w:rStyle w:val="FootnoteReference"/>
        </w:rPr>
        <w:footnoteReference w:id="212"/>
      </w:r>
      <w:r w:rsidR="002A41F8">
        <w:rPr>
          <w:rFonts w:cs="Times New Roman"/>
          <w:lang w:val="en-AU"/>
        </w:rPr>
        <w:t xml:space="preserve"> No reason was given for the 1956 change, while the 1982 change introduced the ‘special area’ in response to the recommendations of the </w:t>
      </w:r>
      <w:r w:rsidR="00F01A91">
        <w:rPr>
          <w:rFonts w:cs="Times New Roman"/>
          <w:lang w:val="en-AU"/>
        </w:rPr>
        <w:t>Zone Allowances</w:t>
      </w:r>
      <w:r w:rsidR="002A41F8">
        <w:rPr>
          <w:rFonts w:cs="Times New Roman"/>
          <w:lang w:val="en-AU"/>
        </w:rPr>
        <w:t xml:space="preserve"> Inquiry </w:t>
      </w:r>
      <w:r w:rsidR="002A41F8">
        <w:t>to provide greater assistance to residents of ‘particularly isolated areas’.</w:t>
      </w:r>
      <w:r w:rsidR="002A41F8">
        <w:rPr>
          <w:rStyle w:val="FootnoteReference"/>
        </w:rPr>
        <w:footnoteReference w:id="213"/>
      </w:r>
      <w:r w:rsidR="002A41F8">
        <w:t xml:space="preserve"> The most recent (albeit minor) amendment of the </w:t>
      </w:r>
      <w:r w:rsidR="00EA737A">
        <w:t>boundaries</w:t>
      </w:r>
      <w:r w:rsidR="002A41F8">
        <w:t xml:space="preserve"> of the prescribed area occurred in 1990.</w:t>
      </w:r>
    </w:p>
    <w:p w14:paraId="11E6537A" w14:textId="7D8655EC" w:rsidR="00DA1955" w:rsidRDefault="002A41F8" w:rsidP="008E4B6C">
      <w:pPr>
        <w:spacing w:line="480" w:lineRule="auto"/>
        <w:ind w:firstLine="720"/>
        <w:rPr>
          <w:rFonts w:cs="Times New Roman"/>
          <w:lang w:val="en-AU"/>
        </w:rPr>
      </w:pPr>
      <w:r>
        <w:rPr>
          <w:rFonts w:cs="Times New Roman"/>
          <w:lang w:val="en-AU"/>
        </w:rPr>
        <w:t>Given this lack of change,</w:t>
      </w:r>
      <w:r w:rsidR="00DA1955">
        <w:rPr>
          <w:rFonts w:cs="Times New Roman"/>
          <w:lang w:val="en-AU"/>
        </w:rPr>
        <w:t xml:space="preserve"> there has been consistent criticism of </w:t>
      </w:r>
      <w:r>
        <w:rPr>
          <w:rFonts w:cs="Times New Roman"/>
          <w:lang w:val="en-AU"/>
        </w:rPr>
        <w:t>the</w:t>
      </w:r>
      <w:r w:rsidR="00DA1955">
        <w:rPr>
          <w:rFonts w:cs="Times New Roman"/>
          <w:lang w:val="en-AU"/>
        </w:rPr>
        <w:t xml:space="preserve"> contemporary relevance</w:t>
      </w:r>
      <w:r>
        <w:rPr>
          <w:rFonts w:cs="Times New Roman"/>
          <w:lang w:val="en-AU"/>
        </w:rPr>
        <w:t xml:space="preserve"> of the </w:t>
      </w:r>
      <w:r w:rsidR="00EA737A">
        <w:rPr>
          <w:rFonts w:cs="Times New Roman"/>
          <w:lang w:val="en-AU"/>
        </w:rPr>
        <w:t>boundaries</w:t>
      </w:r>
      <w:r>
        <w:rPr>
          <w:rFonts w:cs="Times New Roman"/>
          <w:lang w:val="en-AU"/>
        </w:rPr>
        <w:t xml:space="preserve"> of the prescribed area</w:t>
      </w:r>
      <w:r w:rsidR="00DA1955">
        <w:rPr>
          <w:rFonts w:cs="Times New Roman"/>
          <w:lang w:val="en-AU"/>
        </w:rPr>
        <w:t xml:space="preserve">. The </w:t>
      </w:r>
      <w:r w:rsidR="00F01A91">
        <w:rPr>
          <w:rFonts w:cs="Times New Roman"/>
          <w:lang w:val="en-AU"/>
        </w:rPr>
        <w:t>Zone Allowances</w:t>
      </w:r>
      <w:r w:rsidR="00DA1955">
        <w:rPr>
          <w:rFonts w:cs="Times New Roman"/>
          <w:lang w:val="en-AU"/>
        </w:rPr>
        <w:t xml:space="preserve"> Inquiry noted the ‘wide variation in conditions within the present zones’ produced a ‘rather arbitrary two zones </w:t>
      </w:r>
      <w:r w:rsidR="00DA1955">
        <w:rPr>
          <w:rFonts w:cs="Times New Roman"/>
          <w:lang w:val="en-AU"/>
        </w:rPr>
        <w:lastRenderedPageBreak/>
        <w:t xml:space="preserve">system’ and </w:t>
      </w:r>
      <w:r w:rsidR="00642BAC">
        <w:rPr>
          <w:rFonts w:cs="Times New Roman"/>
          <w:lang w:val="en-AU"/>
        </w:rPr>
        <w:t xml:space="preserve">recommended that towns with populations of 25,000 or greater in Zone A be reclassified to Zone B and those in Zone B be reclassified to outside the prescribed area as well as conducting quinquennial reviews of the boundaries. </w:t>
      </w:r>
      <w:r w:rsidR="009D4F2E">
        <w:rPr>
          <w:rFonts w:cs="Times New Roman"/>
          <w:lang w:val="en-AU"/>
        </w:rPr>
        <w:t xml:space="preserve">Nineteen years later, the </w:t>
      </w:r>
      <w:r w:rsidR="00BE1BFA">
        <w:rPr>
          <w:rFonts w:cs="Times New Roman"/>
          <w:lang w:val="en-AU"/>
        </w:rPr>
        <w:t xml:space="preserve">comprehensive </w:t>
      </w:r>
      <w:r w:rsidR="009D4F2E">
        <w:rPr>
          <w:rFonts w:cs="Times New Roman"/>
          <w:lang w:val="en-AU"/>
        </w:rPr>
        <w:t>Henry Tax Review reached similar conclusions:</w:t>
      </w:r>
    </w:p>
    <w:p w14:paraId="1661B095" w14:textId="03A3B640" w:rsidR="009D4F2E" w:rsidRPr="009D4F2E" w:rsidRDefault="009D4F2E" w:rsidP="009D4F2E">
      <w:pPr>
        <w:ind w:left="720"/>
        <w:rPr>
          <w:sz w:val="20"/>
        </w:rPr>
      </w:pPr>
      <w:r w:rsidRPr="009D4F2E">
        <w:rPr>
          <w:sz w:val="20"/>
        </w:rPr>
        <w:t xml:space="preserve">it is notable that the zones do not appear to be determined by any modern concept of remoteness. The zones were established in 1945 and the boundaries have remained broadly unchanged since 1956. Given changes in population and the distribution of industry and transport infrastructure since 1956, many areas in the zones are not disadvantaged or isolated. On the other </w:t>
      </w:r>
      <w:proofErr w:type="gramStart"/>
      <w:r w:rsidRPr="009D4F2E">
        <w:rPr>
          <w:sz w:val="20"/>
        </w:rPr>
        <w:t>hand</w:t>
      </w:r>
      <w:proofErr w:type="gramEnd"/>
      <w:r w:rsidRPr="009D4F2E">
        <w:rPr>
          <w:sz w:val="20"/>
        </w:rPr>
        <w:t xml:space="preserve"> some remote areas fall outside the zones. </w:t>
      </w:r>
      <w:r w:rsidR="00355BBD">
        <w:rPr>
          <w:sz w:val="20"/>
        </w:rPr>
        <w:t>..</w:t>
      </w:r>
      <w:r w:rsidRPr="009D4F2E">
        <w:rPr>
          <w:sz w:val="20"/>
        </w:rPr>
        <w:t>. The zone tax offset should be reviewed, with a view to providing assistance based on contemporary measures of remoteness.</w:t>
      </w:r>
      <w:r>
        <w:rPr>
          <w:rStyle w:val="FootnoteReference"/>
          <w:sz w:val="20"/>
        </w:rPr>
        <w:footnoteReference w:id="214"/>
      </w:r>
    </w:p>
    <w:p w14:paraId="2F873912" w14:textId="77777777" w:rsidR="009D4F2E" w:rsidRDefault="009D4F2E" w:rsidP="009D4F2E"/>
    <w:p w14:paraId="17E31877" w14:textId="012DC982" w:rsidR="00642BAC" w:rsidRDefault="000A3392" w:rsidP="008E4B6C">
      <w:pPr>
        <w:spacing w:line="480" w:lineRule="auto"/>
      </w:pPr>
      <w:r>
        <w:t>Likewise, Manning concluded ‘[t]here is a strong case for redefining the zones’.</w:t>
      </w:r>
      <w:r>
        <w:rPr>
          <w:rStyle w:val="FootnoteReference"/>
        </w:rPr>
        <w:footnoteReference w:id="215"/>
      </w:r>
      <w:r w:rsidR="00642BAC">
        <w:t xml:space="preserve"> Most recently, the Commonwealth government’s white paper on northern Australia concluded that the offset ‘is out of date and poorly targeted’ and reaffirmed the government’s intention to exclude FIFO workers from eligibility.</w:t>
      </w:r>
      <w:r w:rsidR="00642BAC">
        <w:rPr>
          <w:rStyle w:val="FootnoteReference"/>
        </w:rPr>
        <w:footnoteReference w:id="216"/>
      </w:r>
      <w:r w:rsidR="00642BAC">
        <w:t xml:space="preserve"> </w:t>
      </w:r>
      <w:r w:rsidR="00F60EDF">
        <w:t>T</w:t>
      </w:r>
      <w:r w:rsidR="005C6112">
        <w:t xml:space="preserve">he more arbitrary </w:t>
      </w:r>
      <w:r w:rsidR="00BE2296">
        <w:t>the</w:t>
      </w:r>
      <w:r w:rsidR="005C6112">
        <w:t xml:space="preserve"> zone </w:t>
      </w:r>
      <w:r w:rsidR="00EA737A">
        <w:t>boundaries</w:t>
      </w:r>
      <w:r w:rsidR="005C6112">
        <w:t>, the less likely they are to satisfy</w:t>
      </w:r>
      <w:r w:rsidR="008414C5">
        <w:t xml:space="preserve"> the requirements of necessity and adequate </w:t>
      </w:r>
      <w:r w:rsidR="008414C5" w:rsidRPr="00D40DD6">
        <w:t>balance.</w:t>
      </w:r>
      <w:r w:rsidR="00D40DD6" w:rsidRPr="00D40DD6">
        <w:rPr>
          <w:rStyle w:val="FootnoteReference"/>
        </w:rPr>
        <w:footnoteReference w:id="217"/>
      </w:r>
      <w:r w:rsidR="00D40DD6" w:rsidRPr="00D40DD6">
        <w:t xml:space="preserve"> </w:t>
      </w:r>
      <w:r w:rsidR="008414C5" w:rsidRPr="00D40DD6">
        <w:t>This</w:t>
      </w:r>
      <w:r w:rsidR="008414C5">
        <w:t xml:space="preserve"> is because arbitrary </w:t>
      </w:r>
      <w:r w:rsidR="00EA737A">
        <w:t>boundaries</w:t>
      </w:r>
      <w:r w:rsidR="008414C5">
        <w:t xml:space="preserve"> create a greater</w:t>
      </w:r>
      <w:r w:rsidR="005C6112">
        <w:t xml:space="preserve"> </w:t>
      </w:r>
      <w:r w:rsidR="008414C5">
        <w:t xml:space="preserve">restrictive </w:t>
      </w:r>
      <w:r w:rsidR="003C4514">
        <w:t xml:space="preserve">and negative </w:t>
      </w:r>
      <w:r w:rsidR="008414C5">
        <w:t>effect</w:t>
      </w:r>
      <w:r w:rsidR="005C6112">
        <w:t xml:space="preserve"> on the </w:t>
      </w:r>
      <w:r w:rsidR="00F85935">
        <w:t xml:space="preserve">Australian </w:t>
      </w:r>
      <w:r w:rsidR="005C6112">
        <w:t>economic union and equality of th</w:t>
      </w:r>
      <w:r w:rsidR="008414C5">
        <w:t xml:space="preserve">e states and their peoples </w:t>
      </w:r>
      <w:r w:rsidR="00F85935">
        <w:t xml:space="preserve">that is </w:t>
      </w:r>
      <w:r w:rsidR="008414C5">
        <w:t>not matched by</w:t>
      </w:r>
      <w:r w:rsidR="005C6112">
        <w:t xml:space="preserve"> correlative positive </w:t>
      </w:r>
      <w:r w:rsidR="008414C5">
        <w:t>effect</w:t>
      </w:r>
      <w:r w:rsidR="00CC6AEA">
        <w:t>s</w:t>
      </w:r>
      <w:r w:rsidR="00BE2296">
        <w:t xml:space="preserve"> in the form of development and compensation</w:t>
      </w:r>
      <w:r w:rsidR="00CB2CD0">
        <w:t xml:space="preserve"> in true remote areas</w:t>
      </w:r>
      <w:r w:rsidR="005C6112">
        <w:t xml:space="preserve">. </w:t>
      </w:r>
    </w:p>
    <w:p w14:paraId="3336E13A" w14:textId="39BD82F4" w:rsidR="00642BAC" w:rsidRPr="00642BAC" w:rsidRDefault="00642BAC" w:rsidP="008E4B6C">
      <w:pPr>
        <w:spacing w:line="480" w:lineRule="auto"/>
        <w:ind w:firstLine="720"/>
        <w:rPr>
          <w:rFonts w:cs="Times New Roman"/>
          <w:lang w:val="en-AU"/>
        </w:rPr>
      </w:pPr>
      <w:r>
        <w:t>However,</w:t>
      </w:r>
      <w:r w:rsidR="00AB1699">
        <w:t xml:space="preserve"> not all of the </w:t>
      </w:r>
      <w:r w:rsidR="00CC6AEA">
        <w:t>offset’s</w:t>
      </w:r>
      <w:r w:rsidR="00AB1699">
        <w:t xml:space="preserve"> </w:t>
      </w:r>
      <w:r w:rsidR="00EA737A">
        <w:t>boundaries</w:t>
      </w:r>
      <w:r w:rsidR="00AB1699">
        <w:t xml:space="preserve"> are a</w:t>
      </w:r>
      <w:r w:rsidR="00E45568">
        <w:t>bsolute and inflexible. Section </w:t>
      </w:r>
      <w:r w:rsidR="00AB1699">
        <w:t>79A(3E) grants the Commissioner of Taxation the power to deem parts of Zone A or B to form part of the special area ‘if he or she considers it appropriate having regard to all the circumstances’.</w:t>
      </w:r>
      <w:r w:rsidR="00A523AD">
        <w:rPr>
          <w:rStyle w:val="FootnoteReference"/>
        </w:rPr>
        <w:footnoteReference w:id="218"/>
      </w:r>
      <w:r w:rsidR="00AE065D">
        <w:t xml:space="preserve"> </w:t>
      </w:r>
      <w:r w:rsidR="003C11AD">
        <w:t xml:space="preserve">Moreover, the criticisms of the </w:t>
      </w:r>
      <w:r w:rsidR="000C4E59">
        <w:t>zone</w:t>
      </w:r>
      <w:r w:rsidR="003C11AD">
        <w:t xml:space="preserve"> </w:t>
      </w:r>
      <w:r w:rsidR="00EA737A">
        <w:t>boundaries</w:t>
      </w:r>
      <w:r w:rsidR="003C11AD">
        <w:t xml:space="preserve"> focus on the extent to which they recognise </w:t>
      </w:r>
      <w:r w:rsidR="000C4E59">
        <w:rPr>
          <w:i/>
        </w:rPr>
        <w:t xml:space="preserve">appropriate </w:t>
      </w:r>
      <w:r w:rsidR="003C11AD">
        <w:rPr>
          <w:i/>
        </w:rPr>
        <w:t>degrees of remoteness</w:t>
      </w:r>
      <w:r w:rsidR="003C11AD">
        <w:t xml:space="preserve">; each implicitly recognises that, at a high level, the zone </w:t>
      </w:r>
      <w:r w:rsidR="00EA737A">
        <w:t>boundaries</w:t>
      </w:r>
      <w:r w:rsidR="003C11AD">
        <w:t xml:space="preserve"> </w:t>
      </w:r>
      <w:r w:rsidR="0069596E">
        <w:t>generally</w:t>
      </w:r>
      <w:r w:rsidR="003C11AD">
        <w:t xml:space="preserve"> reflect concepts of remoteness. For instance, no </w:t>
      </w:r>
      <w:r w:rsidR="003C11AD">
        <w:lastRenderedPageBreak/>
        <w:t xml:space="preserve">state capital </w:t>
      </w:r>
      <w:r w:rsidR="003F18B5">
        <w:t xml:space="preserve">city </w:t>
      </w:r>
      <w:r w:rsidR="003C11AD">
        <w:t xml:space="preserve">falls within </w:t>
      </w:r>
      <w:r w:rsidR="0010311A">
        <w:t>the prescribed area</w:t>
      </w:r>
      <w:r w:rsidR="003C11AD">
        <w:t>.</w:t>
      </w:r>
      <w:r w:rsidR="00F26039">
        <w:t xml:space="preserve"> </w:t>
      </w:r>
      <w:r>
        <w:t>Further</w:t>
      </w:r>
      <w:r w:rsidR="001B2C84">
        <w:t xml:space="preserve">more, the </w:t>
      </w:r>
      <w:r w:rsidR="0069596E">
        <w:t>Zone Allowances</w:t>
      </w:r>
      <w:r w:rsidR="001B2C84">
        <w:t xml:space="preserve"> Inquiry </w:t>
      </w:r>
      <w:r>
        <w:t>conceded</w:t>
      </w:r>
      <w:r w:rsidR="001B2C84">
        <w:t xml:space="preserve"> </w:t>
      </w:r>
      <w:r w:rsidR="001B2C84">
        <w:rPr>
          <w:rFonts w:cs="Times New Roman"/>
          <w:lang w:val="en-AU"/>
        </w:rPr>
        <w:t xml:space="preserve">that ‘difficulties remain in determining the boundaries of </w:t>
      </w:r>
      <w:r>
        <w:rPr>
          <w:rFonts w:cs="Times New Roman"/>
          <w:lang w:val="en-AU"/>
        </w:rPr>
        <w:t>[remote]</w:t>
      </w:r>
      <w:r w:rsidR="001B2C84">
        <w:rPr>
          <w:rFonts w:cs="Times New Roman"/>
          <w:lang w:val="en-AU"/>
        </w:rPr>
        <w:t xml:space="preserve"> areas and in establishing the extent to which there are degrees of remoteness’.</w:t>
      </w:r>
      <w:r w:rsidR="001B2C84">
        <w:rPr>
          <w:rStyle w:val="FootnoteReference"/>
          <w:rFonts w:cs="Times New Roman"/>
          <w:lang w:val="en-AU"/>
        </w:rPr>
        <w:footnoteReference w:id="219"/>
      </w:r>
    </w:p>
    <w:p w14:paraId="57CA45B6" w14:textId="1B4DFDCE" w:rsidR="004B57D9" w:rsidRDefault="00737BD9" w:rsidP="008E4B6C">
      <w:pPr>
        <w:spacing w:line="480" w:lineRule="auto"/>
        <w:ind w:firstLine="720"/>
      </w:pPr>
      <w:r>
        <w:t xml:space="preserve">Ultimately, these issues of degree do not preclude the conclusion that the zone tax offset satisfies the necessity and adequate balance tests. In terms of necessity, there is no other equally effective way of encouraging remote </w:t>
      </w:r>
      <w:r w:rsidR="000C4E59">
        <w:t>development</w:t>
      </w:r>
      <w:r>
        <w:t xml:space="preserve"> and compensating remote residents without making payments to </w:t>
      </w:r>
      <w:r w:rsidR="00465C42">
        <w:t>people</w:t>
      </w:r>
      <w:r>
        <w:t>. Regardless of whether those payments are made through the taxation system in the form of the offset, under social security legislation in the form of benefits,</w:t>
      </w:r>
      <w:r w:rsidRPr="00737BD9">
        <w:rPr>
          <w:rStyle w:val="FootnoteReference"/>
        </w:rPr>
        <w:t xml:space="preserve"> </w:t>
      </w:r>
      <w:r>
        <w:rPr>
          <w:rStyle w:val="FootnoteReference"/>
        </w:rPr>
        <w:footnoteReference w:id="220"/>
      </w:r>
      <w:r>
        <w:t xml:space="preserve"> or through tied grants to the states,</w:t>
      </w:r>
      <w:r>
        <w:rPr>
          <w:rStyle w:val="FootnoteReference"/>
        </w:rPr>
        <w:footnoteReference w:id="221"/>
      </w:r>
      <w:r>
        <w:t xml:space="preserve"> the economic effect on the economic union and equality of the states and their peoples is the same. That being so, the offset falls ‘within the domain of selections that fulfil the legislative purpose with the least harm to the [economic union and equality</w:t>
      </w:r>
      <w:r w:rsidR="000C4E59">
        <w:t>,</w:t>
      </w:r>
      <w:r>
        <w:t xml:space="preserve"> so that] the decision to select the preferred means is the legislature’s.’</w:t>
      </w:r>
      <w:r>
        <w:rPr>
          <w:rStyle w:val="FootnoteReference"/>
        </w:rPr>
        <w:footnoteReference w:id="222"/>
      </w:r>
      <w:r w:rsidR="004B57D9">
        <w:t xml:space="preserve"> </w:t>
      </w:r>
    </w:p>
    <w:p w14:paraId="47F0D4D3" w14:textId="168508F2" w:rsidR="00737BD9" w:rsidRPr="00637488" w:rsidRDefault="004B57D9" w:rsidP="008E4B6C">
      <w:pPr>
        <w:spacing w:line="480" w:lineRule="auto"/>
        <w:ind w:firstLine="720"/>
      </w:pPr>
      <w:r>
        <w:t xml:space="preserve">In terms of adequate balance, given that less than 600,000 </w:t>
      </w:r>
      <w:r w:rsidR="00F85935">
        <w:t xml:space="preserve">taxpayers are eligible for the </w:t>
      </w:r>
      <w:r>
        <w:t xml:space="preserve">offset and its annual cost is less than $0.3 billion, the extent of any negative market distortions upon the economic union </w:t>
      </w:r>
      <w:r w:rsidR="000C4E59">
        <w:t>should</w:t>
      </w:r>
      <w:r>
        <w:t xml:space="preserve"> be minimal. Furthermore, payment of the offset actually promotes the equality of states and their peoples in terms of outcome. In these circumstances, the positive impact that the offset has by encouraging development and compensating residents of remote areas </w:t>
      </w:r>
      <w:r w:rsidR="0069596E">
        <w:t>exceeds</w:t>
      </w:r>
      <w:r>
        <w:t xml:space="preserve"> any negative effects it has on the Australian economic union and the </w:t>
      </w:r>
      <w:r w:rsidR="00637488">
        <w:t xml:space="preserve">equality of the states and their peoples. This conclusion is also consistent with the reasoning in </w:t>
      </w:r>
      <w:r w:rsidR="00637488">
        <w:rPr>
          <w:i/>
        </w:rPr>
        <w:t xml:space="preserve">Colonial </w:t>
      </w:r>
      <w:r w:rsidR="00637488">
        <w:t xml:space="preserve">and </w:t>
      </w:r>
      <w:r w:rsidR="00637488">
        <w:rPr>
          <w:i/>
        </w:rPr>
        <w:t>Moran</w:t>
      </w:r>
      <w:r w:rsidR="00637488">
        <w:t xml:space="preserve">. </w:t>
      </w:r>
      <w:r w:rsidR="00B9704F">
        <w:t>For all of these reasons, the zone tax offset is appropriate and adapted to the attainment of its objectives.</w:t>
      </w:r>
    </w:p>
    <w:p w14:paraId="7C017BB1" w14:textId="7C9F2A1F" w:rsidR="004C79F4" w:rsidRDefault="004C79F4" w:rsidP="008E4B6C">
      <w:pPr>
        <w:pStyle w:val="Heading2"/>
        <w:spacing w:line="480" w:lineRule="auto"/>
      </w:pPr>
      <w:bookmarkStart w:id="46" w:name="_Toc449554437"/>
      <w:r>
        <w:rPr>
          <w:i w:val="0"/>
        </w:rPr>
        <w:lastRenderedPageBreak/>
        <w:t xml:space="preserve">E </w:t>
      </w:r>
      <w:r>
        <w:t>Conclusion</w:t>
      </w:r>
      <w:bookmarkEnd w:id="46"/>
    </w:p>
    <w:p w14:paraId="4341B40C" w14:textId="5EC0C519" w:rsidR="00E15239" w:rsidRDefault="00E15239" w:rsidP="008E4B6C">
      <w:pPr>
        <w:spacing w:line="480" w:lineRule="auto"/>
      </w:pPr>
      <w:r>
        <w:tab/>
        <w:t>Accordingly, the zone tax offset does not discriminate between states or parts of states. It imposes no differential treatment on the basis of state connection between persons in the same circumstances. Furthermore, the distinction that it makes between remote and non-remote residents</w:t>
      </w:r>
      <w:r w:rsidR="007F1901">
        <w:t xml:space="preserve"> is appropriate and adapted to the attainment of two </w:t>
      </w:r>
      <w:r w:rsidR="00446810">
        <w:t>proper</w:t>
      </w:r>
      <w:r w:rsidR="007F1901">
        <w:t xml:space="preserve"> objectives: encouraging development of remote areas and compensating the people who live there.</w:t>
      </w:r>
    </w:p>
    <w:p w14:paraId="3A9DE4BF" w14:textId="730B86CB" w:rsidR="00D238DD" w:rsidRDefault="00A91115" w:rsidP="008E4B6C">
      <w:pPr>
        <w:pStyle w:val="Heading1"/>
        <w:spacing w:line="480" w:lineRule="auto"/>
      </w:pPr>
      <w:bookmarkStart w:id="47" w:name="_Toc449554438"/>
      <w:r>
        <w:t>VII</w:t>
      </w:r>
      <w:r w:rsidR="00413FE5">
        <w:t>I</w:t>
      </w:r>
      <w:r w:rsidR="00D238DD">
        <w:t xml:space="preserve"> Conclusion</w:t>
      </w:r>
      <w:bookmarkEnd w:id="47"/>
    </w:p>
    <w:p w14:paraId="76C47A3D" w14:textId="0B9CF680" w:rsidR="00F74700" w:rsidRDefault="00DA3832" w:rsidP="008E4B6C">
      <w:pPr>
        <w:spacing w:line="480" w:lineRule="auto"/>
      </w:pPr>
      <w:r>
        <w:tab/>
        <w:t xml:space="preserve">In </w:t>
      </w:r>
      <w:r w:rsidR="002B24C4">
        <w:t>an effort</w:t>
      </w:r>
      <w:r>
        <w:t xml:space="preserve"> to add to the sparse commentary on both the </w:t>
      </w:r>
      <w:r w:rsidR="00387A33">
        <w:t>prohibition on taxes that discriminate between states or parts of states contained in section 51(ii)</w:t>
      </w:r>
      <w:r>
        <w:t xml:space="preserve"> </w:t>
      </w:r>
      <w:r w:rsidR="00387A33">
        <w:t xml:space="preserve">of the </w:t>
      </w:r>
      <w:r w:rsidR="00387A33">
        <w:rPr>
          <w:i/>
        </w:rPr>
        <w:t xml:space="preserve">Constitution </w:t>
      </w:r>
      <w:r>
        <w:t xml:space="preserve">and the zone tax offset </w:t>
      </w:r>
      <w:r w:rsidR="00387A33">
        <w:t xml:space="preserve">contained in section 79A of the </w:t>
      </w:r>
      <w:r w:rsidR="00387A33">
        <w:rPr>
          <w:i/>
        </w:rPr>
        <w:t>ITAA 1936</w:t>
      </w:r>
      <w:r w:rsidR="002B24C4">
        <w:t xml:space="preserve">, </w:t>
      </w:r>
      <w:r w:rsidR="00B87487">
        <w:t>I have</w:t>
      </w:r>
      <w:r w:rsidR="002B24C4">
        <w:t xml:space="preserve"> sought</w:t>
      </w:r>
      <w:r w:rsidR="00B87487">
        <w:t xml:space="preserve"> here</w:t>
      </w:r>
      <w:r w:rsidR="002B24C4">
        <w:t xml:space="preserve"> to</w:t>
      </w:r>
      <w:r>
        <w:t xml:space="preserve"> </w:t>
      </w:r>
      <w:r w:rsidR="002B24C4">
        <w:t>critically analyse</w:t>
      </w:r>
      <w:r>
        <w:t xml:space="preserve"> whether the </w:t>
      </w:r>
      <w:r w:rsidR="00387A33">
        <w:t>offset</w:t>
      </w:r>
      <w:r>
        <w:t xml:space="preserve"> breaches the </w:t>
      </w:r>
      <w:r w:rsidR="00387A33">
        <w:t>prohibition</w:t>
      </w:r>
      <w:r>
        <w:t xml:space="preserve">. </w:t>
      </w:r>
      <w:r w:rsidR="002B24C4">
        <w:t>T</w:t>
      </w:r>
      <w:r w:rsidR="0024037C">
        <w:t xml:space="preserve">he explanatory materials to the </w:t>
      </w:r>
      <w:r w:rsidR="0024037C">
        <w:rPr>
          <w:i/>
        </w:rPr>
        <w:t>Constitution</w:t>
      </w:r>
      <w:r w:rsidR="0024037C">
        <w:t xml:space="preserve">, the jurisprudence on provisions of the </w:t>
      </w:r>
      <w:r w:rsidR="0024037C">
        <w:rPr>
          <w:i/>
        </w:rPr>
        <w:t xml:space="preserve">Constitution </w:t>
      </w:r>
      <w:r w:rsidR="0024037C">
        <w:t xml:space="preserve">related to section 51(ii), the jurisprudence on section 51(ii) </w:t>
      </w:r>
      <w:r w:rsidR="002B24C4">
        <w:t xml:space="preserve">itself </w:t>
      </w:r>
      <w:r w:rsidR="0024037C">
        <w:t xml:space="preserve">and the jurisprudence of the US Supreme Court regarding the equivalent </w:t>
      </w:r>
      <w:r w:rsidR="002B24C4">
        <w:t>prohibition</w:t>
      </w:r>
      <w:r w:rsidR="0024037C">
        <w:t xml:space="preserve"> in the </w:t>
      </w:r>
      <w:r w:rsidR="0024037C">
        <w:rPr>
          <w:i/>
        </w:rPr>
        <w:t xml:space="preserve">United States Constitution </w:t>
      </w:r>
      <w:r w:rsidR="0024037C">
        <w:t xml:space="preserve">all support the conclusion that the section 51(ii) discrimination prohibition is more sophisticated and nuanced than a </w:t>
      </w:r>
      <w:r w:rsidR="002B24C4">
        <w:t xml:space="preserve">mere </w:t>
      </w:r>
      <w:r w:rsidR="0024037C">
        <w:t>requirement that taxation laws have uniform terms.</w:t>
      </w:r>
      <w:r w:rsidR="00F74700">
        <w:t xml:space="preserve"> S</w:t>
      </w:r>
      <w:r w:rsidR="002B24C4">
        <w:t xml:space="preserve">ection 51(ii) prohibits differential treatment </w:t>
      </w:r>
      <w:r w:rsidR="00D53D7C">
        <w:t xml:space="preserve">of persons </w:t>
      </w:r>
      <w:r w:rsidR="002B24C4">
        <w:t>imposed on the basis of state connection regardless of any other circumstances</w:t>
      </w:r>
      <w:r w:rsidR="0010311A">
        <w:t>,</w:t>
      </w:r>
      <w:r w:rsidR="002B24C4">
        <w:t xml:space="preserve"> that is n</w:t>
      </w:r>
      <w:r w:rsidR="00B87487">
        <w:t>ot appropriate and adapted to proper objectives</w:t>
      </w:r>
      <w:r w:rsidR="002B24C4">
        <w:t xml:space="preserve">. </w:t>
      </w:r>
      <w:r w:rsidR="0024037C">
        <w:t xml:space="preserve">Accordingly, the interpretative approach adopted by French CJ in </w:t>
      </w:r>
      <w:r w:rsidR="0024037C">
        <w:rPr>
          <w:i/>
        </w:rPr>
        <w:t xml:space="preserve">Fortescue </w:t>
      </w:r>
      <w:r w:rsidR="0024037C">
        <w:t xml:space="preserve">is not the offset’s only constitutional lifeline, although it is the clearest exposition of the proper interpretation of section 51(ii). </w:t>
      </w:r>
    </w:p>
    <w:p w14:paraId="25B9EB5D" w14:textId="706EFAB3" w:rsidR="004E14FE" w:rsidRDefault="00F74700" w:rsidP="008E4B6C">
      <w:pPr>
        <w:spacing w:line="480" w:lineRule="auto"/>
        <w:ind w:firstLine="720"/>
      </w:pPr>
      <w:r>
        <w:t xml:space="preserve">Applying that interpretation to the zone tax offset, the result is that section 51(ii) is not breached. The zone tax offset </w:t>
      </w:r>
      <w:r w:rsidR="0035088A">
        <w:t xml:space="preserve">does not </w:t>
      </w:r>
      <w:r w:rsidR="00051E63">
        <w:t>treat</w:t>
      </w:r>
      <w:r w:rsidR="00E15239">
        <w:t xml:space="preserve"> people </w:t>
      </w:r>
      <w:r w:rsidR="00E15239" w:rsidRPr="00930A66">
        <w:rPr>
          <w:i/>
        </w:rPr>
        <w:t>in the same circumstances</w:t>
      </w:r>
      <w:r w:rsidR="00E15239">
        <w:t xml:space="preserve"> differently due to their state connection</w:t>
      </w:r>
      <w:r w:rsidR="0035088A">
        <w:t xml:space="preserve">; rather, all individual residents of Australia are treated in a similar way depending on the extent of the socio-economic impact of the remoteness of their </w:t>
      </w:r>
      <w:r w:rsidR="0035088A">
        <w:lastRenderedPageBreak/>
        <w:t xml:space="preserve">residence. The zone tax offset distinguishes between remote and non-remote residents in the furtherance of dual objectives: encouraging the economic development of remote areas and compensating the people who live there for </w:t>
      </w:r>
      <w:r w:rsidR="0035088A">
        <w:rPr>
          <w:rFonts w:cs="Times New Roman"/>
          <w:lang w:val="en-AU"/>
        </w:rPr>
        <w:t xml:space="preserve">the disadvantages of </w:t>
      </w:r>
      <w:r w:rsidR="0035088A" w:rsidRPr="00343986">
        <w:rPr>
          <w:rFonts w:cs="Times New Roman"/>
          <w:lang w:val="en-AU"/>
        </w:rPr>
        <w:t>uncongenial climatic conditions, isol</w:t>
      </w:r>
      <w:r w:rsidR="0035088A">
        <w:rPr>
          <w:rFonts w:cs="Times New Roman"/>
          <w:lang w:val="en-AU"/>
        </w:rPr>
        <w:t>ation and high cost of living.</w:t>
      </w:r>
      <w:r w:rsidR="0035088A">
        <w:t xml:space="preserve"> Those objectives are </w:t>
      </w:r>
      <w:r w:rsidR="00446810">
        <w:t>proper</w:t>
      </w:r>
      <w:r w:rsidR="0035088A">
        <w:t xml:space="preserve"> because they are </w:t>
      </w:r>
      <w:r w:rsidR="0010311A">
        <w:t xml:space="preserve">consistent and </w:t>
      </w:r>
      <w:r w:rsidR="0035088A">
        <w:t>compatible with the purposes of the section 51(ii) discrimination prohibition: protection of the Australian economic union, consisting of a customs union and free trade area, and the equality of the states and their peoples. Finally, the zone tax offset is appropriate and adapted to achieving these objectives because it provides monetary inducement/compensation in furtherance of those objectives, there is no reasonably practicable alternative means of achieving th</w:t>
      </w:r>
      <w:r w:rsidR="0010311A">
        <w:t>os</w:t>
      </w:r>
      <w:r w:rsidR="0035088A">
        <w:t>e objective</w:t>
      </w:r>
      <w:r w:rsidR="0010311A">
        <w:t>s</w:t>
      </w:r>
      <w:r w:rsidR="0035088A">
        <w:t xml:space="preserve"> and on balance the offset has a positive impact on the Australian economy. </w:t>
      </w:r>
    </w:p>
    <w:p w14:paraId="2E4B5FC2" w14:textId="6C948F93" w:rsidR="007F1905" w:rsidRDefault="0035088A" w:rsidP="008E4B6C">
      <w:pPr>
        <w:spacing w:line="480" w:lineRule="auto"/>
        <w:ind w:firstLine="720"/>
      </w:pPr>
      <w:r>
        <w:t xml:space="preserve">A holistic balancing of all of these factors necessitates the conclusion that the zone tax offset complies with the prohibition in section 51(ii) of the </w:t>
      </w:r>
      <w:r>
        <w:rPr>
          <w:i/>
        </w:rPr>
        <w:t xml:space="preserve">Constitution </w:t>
      </w:r>
      <w:r>
        <w:t>on taxes that discriminate between states or parts of states.</w:t>
      </w:r>
    </w:p>
    <w:p w14:paraId="622E7836" w14:textId="2BC6A10F" w:rsidR="007016B1" w:rsidRDefault="007016B1">
      <w:r>
        <w:br w:type="page"/>
      </w:r>
    </w:p>
    <w:p w14:paraId="7E1D966F" w14:textId="22C702C2" w:rsidR="007016B1" w:rsidRDefault="007016B1" w:rsidP="007016B1">
      <w:pPr>
        <w:pStyle w:val="Heading1"/>
      </w:pPr>
      <w:bookmarkStart w:id="48" w:name="_Toc449554439"/>
      <w:r>
        <w:lastRenderedPageBreak/>
        <w:t>Bibliography</w:t>
      </w:r>
      <w:bookmarkEnd w:id="48"/>
    </w:p>
    <w:p w14:paraId="5021264C" w14:textId="77777777" w:rsidR="007016B1" w:rsidRDefault="007016B1" w:rsidP="007016B1"/>
    <w:p w14:paraId="72A4218B" w14:textId="77777777" w:rsidR="007016B1" w:rsidRDefault="007016B1" w:rsidP="007016B1">
      <w:pPr>
        <w:jc w:val="center"/>
        <w:rPr>
          <w:lang w:val="en-AU"/>
        </w:rPr>
      </w:pPr>
      <w:proofErr w:type="gramStart"/>
      <w:r>
        <w:rPr>
          <w:lang w:val="en-AU"/>
        </w:rPr>
        <w:t>A</w:t>
      </w:r>
      <w:proofErr w:type="gramEnd"/>
      <w:r>
        <w:rPr>
          <w:lang w:val="en-AU"/>
        </w:rPr>
        <w:t xml:space="preserve"> </w:t>
      </w:r>
      <w:r>
        <w:rPr>
          <w:i/>
          <w:lang w:val="en-AU"/>
        </w:rPr>
        <w:t>Articles</w:t>
      </w:r>
    </w:p>
    <w:p w14:paraId="1DA7CD5B" w14:textId="77777777" w:rsidR="007016B1" w:rsidRDefault="007016B1" w:rsidP="007016B1">
      <w:pPr>
        <w:rPr>
          <w:lang w:val="en-AU"/>
        </w:rPr>
      </w:pPr>
    </w:p>
    <w:p w14:paraId="497DD946" w14:textId="623E4301" w:rsidR="007016B1" w:rsidRDefault="007016B1" w:rsidP="007016B1">
      <w:pPr>
        <w:ind w:left="720" w:hanging="720"/>
      </w:pPr>
      <w:r>
        <w:t xml:space="preserve">Clark, Martin, ‘Royalties, Discrimination and Federalism: Fortescue Metals Group Ltd </w:t>
      </w:r>
      <w:proofErr w:type="gramStart"/>
      <w:r>
        <w:t>v</w:t>
      </w:r>
      <w:proofErr w:type="gramEnd"/>
      <w:r>
        <w:t xml:space="preserve"> Commonwealth’ (2013) </w:t>
      </w:r>
      <w:r w:rsidRPr="00C95BEA">
        <w:t xml:space="preserve">28(10) </w:t>
      </w:r>
      <w:r w:rsidRPr="00C95BEA">
        <w:rPr>
          <w:i/>
        </w:rPr>
        <w:t>Australian Environmental Review</w:t>
      </w:r>
      <w:r w:rsidRPr="00C95BEA">
        <w:t xml:space="preserve"> 794</w:t>
      </w:r>
      <w:r w:rsidR="003E231B">
        <w:t>-97</w:t>
      </w:r>
    </w:p>
    <w:p w14:paraId="7C053BA0" w14:textId="5EBA692D" w:rsidR="007016B1" w:rsidRDefault="007016B1" w:rsidP="007016B1">
      <w:pPr>
        <w:ind w:left="720" w:hanging="720"/>
        <w:rPr>
          <w:rFonts w:cs="Times New Roman"/>
          <w:szCs w:val="20"/>
        </w:rPr>
      </w:pPr>
      <w:r w:rsidRPr="00BC7FE3">
        <w:rPr>
          <w:rFonts w:cs="Times New Roman"/>
          <w:szCs w:val="20"/>
        </w:rPr>
        <w:t xml:space="preserve">Gray, </w:t>
      </w:r>
      <w:r>
        <w:rPr>
          <w:rFonts w:cs="Times New Roman"/>
          <w:szCs w:val="20"/>
        </w:rPr>
        <w:t xml:space="preserve">Anthony, </w:t>
      </w:r>
      <w:r w:rsidRPr="00BC7FE3">
        <w:rPr>
          <w:rFonts w:cs="Times New Roman"/>
          <w:szCs w:val="20"/>
        </w:rPr>
        <w:t xml:space="preserve">‘Discriminatory Taxation in Light of </w:t>
      </w:r>
      <w:r w:rsidRPr="00BC7FE3">
        <w:rPr>
          <w:rFonts w:cs="Times New Roman"/>
          <w:i/>
          <w:szCs w:val="20"/>
        </w:rPr>
        <w:t>Fortescue</w:t>
      </w:r>
      <w:r w:rsidRPr="00BC7FE3">
        <w:rPr>
          <w:rFonts w:cs="Times New Roman"/>
          <w:szCs w:val="20"/>
        </w:rPr>
        <w:t xml:space="preserve">: Its Implications for the Development of Northern Australia’ (2014) 42 </w:t>
      </w:r>
      <w:r w:rsidRPr="00BC7FE3">
        <w:rPr>
          <w:rFonts w:cs="Times New Roman"/>
          <w:i/>
          <w:szCs w:val="20"/>
        </w:rPr>
        <w:t>Federal Law Review</w:t>
      </w:r>
      <w:r w:rsidRPr="00BC7FE3">
        <w:rPr>
          <w:rFonts w:cs="Times New Roman"/>
          <w:szCs w:val="20"/>
        </w:rPr>
        <w:t xml:space="preserve"> 67</w:t>
      </w:r>
      <w:r w:rsidR="003E231B">
        <w:rPr>
          <w:rFonts w:cs="Times New Roman"/>
          <w:szCs w:val="20"/>
        </w:rPr>
        <w:t>-89</w:t>
      </w:r>
    </w:p>
    <w:p w14:paraId="6FCD6A39" w14:textId="77765FC3" w:rsidR="007016B1" w:rsidRDefault="007016B1" w:rsidP="007016B1">
      <w:pPr>
        <w:ind w:left="720" w:hanging="720"/>
      </w:pPr>
      <w:r>
        <w:t xml:space="preserve">Helm, Nicholas, ‘Constitutional Law: The Validity of the Mineral Resources Rent Tax’ (2013) 87 </w:t>
      </w:r>
      <w:r w:rsidRPr="00EC1A29">
        <w:rPr>
          <w:i/>
        </w:rPr>
        <w:t>Australian Law Journal</w:t>
      </w:r>
      <w:r w:rsidR="003E231B">
        <w:t xml:space="preserve"> 748-9</w:t>
      </w:r>
    </w:p>
    <w:p w14:paraId="17039422" w14:textId="334B1F5B" w:rsidR="00A01B45" w:rsidRDefault="00A01B45" w:rsidP="007016B1">
      <w:pPr>
        <w:ind w:left="720" w:hanging="720"/>
        <w:rPr>
          <w:lang w:val="en-AU"/>
        </w:rPr>
      </w:pPr>
      <w:r>
        <w:rPr>
          <w:lang w:val="en-AU"/>
        </w:rPr>
        <w:t xml:space="preserve">Jackson, Vicki, ‘Constitutional Law in an Age of Proportionality’ (2015) 124 </w:t>
      </w:r>
      <w:r>
        <w:rPr>
          <w:i/>
          <w:lang w:val="en-AU"/>
        </w:rPr>
        <w:t xml:space="preserve">Yale Law Journal </w:t>
      </w:r>
      <w:r w:rsidR="003E231B">
        <w:rPr>
          <w:lang w:val="en-AU"/>
        </w:rPr>
        <w:t>3094-196</w:t>
      </w:r>
    </w:p>
    <w:p w14:paraId="36710BB6" w14:textId="63FEA37F" w:rsidR="007016B1" w:rsidRDefault="007016B1" w:rsidP="007016B1">
      <w:pPr>
        <w:ind w:left="720" w:hanging="720"/>
        <w:rPr>
          <w:lang w:val="en-AU"/>
        </w:rPr>
      </w:pPr>
      <w:r>
        <w:rPr>
          <w:lang w:val="en-AU"/>
        </w:rPr>
        <w:t xml:space="preserve">Manning, Ian, ‘Income Tax Zone Rebates’ (2013) 68 </w:t>
      </w:r>
      <w:r>
        <w:rPr>
          <w:i/>
          <w:lang w:val="en-AU"/>
        </w:rPr>
        <w:t xml:space="preserve">National Economic Review </w:t>
      </w:r>
      <w:r>
        <w:rPr>
          <w:lang w:val="en-AU"/>
        </w:rPr>
        <w:t>23</w:t>
      </w:r>
      <w:r w:rsidR="003E231B">
        <w:rPr>
          <w:lang w:val="en-AU"/>
        </w:rPr>
        <w:t>-39</w:t>
      </w:r>
    </w:p>
    <w:p w14:paraId="29DB1A76" w14:textId="1A7D9499" w:rsidR="007016B1" w:rsidRDefault="007016B1" w:rsidP="007016B1">
      <w:pPr>
        <w:ind w:left="720" w:hanging="720"/>
      </w:pPr>
      <w:r>
        <w:rPr>
          <w:lang w:val="en-AU"/>
        </w:rPr>
        <w:t xml:space="preserve">McLeish, Stephen, ‘Federal Implications under the Australian Constitution’ (2014) 25 </w:t>
      </w:r>
      <w:r>
        <w:rPr>
          <w:i/>
          <w:lang w:val="en-AU"/>
        </w:rPr>
        <w:t xml:space="preserve">Public Law Review </w:t>
      </w:r>
      <w:r>
        <w:rPr>
          <w:lang w:val="en-AU"/>
        </w:rPr>
        <w:t>172</w:t>
      </w:r>
      <w:r w:rsidR="003E231B">
        <w:rPr>
          <w:lang w:val="en-AU"/>
        </w:rPr>
        <w:t>-84</w:t>
      </w:r>
    </w:p>
    <w:p w14:paraId="5592F66F" w14:textId="3AD33D3E" w:rsidR="007016B1" w:rsidRDefault="007016B1" w:rsidP="007016B1">
      <w:pPr>
        <w:ind w:left="720" w:hanging="720"/>
      </w:pPr>
      <w:r>
        <w:t>Morris, Kathleen and Chief Justice James Allsop, ‘The United States and the Australian Constitution: Influence of US constitutional model on development and interpretation of the Australian Constitution’ (2015) </w:t>
      </w:r>
      <w:r w:rsidRPr="00440E62">
        <w:t xml:space="preserve">89 </w:t>
      </w:r>
      <w:r>
        <w:rPr>
          <w:i/>
        </w:rPr>
        <w:t>Australian Law Journal</w:t>
      </w:r>
      <w:r w:rsidRPr="00440E62">
        <w:t xml:space="preserve"> 309</w:t>
      </w:r>
      <w:r w:rsidR="003E231B">
        <w:t>-30</w:t>
      </w:r>
    </w:p>
    <w:p w14:paraId="0204EACD" w14:textId="77777777" w:rsidR="007016B1" w:rsidRDefault="007016B1" w:rsidP="007016B1">
      <w:pPr>
        <w:ind w:left="720" w:hanging="720"/>
        <w:rPr>
          <w:lang w:val="en-AU"/>
        </w:rPr>
      </w:pPr>
      <w:r>
        <w:t>Sawer, Geoffrey, ‘Commonwealth Taxation Laws – Uniformity and Preference’ (1958) 32 </w:t>
      </w:r>
      <w:r>
        <w:rPr>
          <w:i/>
        </w:rPr>
        <w:t>Australian Law Journal</w:t>
      </w:r>
      <w:r>
        <w:t xml:space="preserve"> 132</w:t>
      </w:r>
    </w:p>
    <w:p w14:paraId="11B07239" w14:textId="60A9EE3E" w:rsidR="007016B1" w:rsidRDefault="007016B1" w:rsidP="007016B1">
      <w:pPr>
        <w:ind w:left="720" w:hanging="720"/>
        <w:rPr>
          <w:rFonts w:cs="Times New Roman"/>
          <w:szCs w:val="20"/>
        </w:rPr>
      </w:pPr>
      <w:r w:rsidRPr="00BC7FE3">
        <w:rPr>
          <w:rFonts w:cs="Times New Roman"/>
          <w:szCs w:val="20"/>
        </w:rPr>
        <w:t>Simpson,</w:t>
      </w:r>
      <w:r>
        <w:rPr>
          <w:rFonts w:cs="Times New Roman"/>
          <w:szCs w:val="20"/>
        </w:rPr>
        <w:t xml:space="preserve"> </w:t>
      </w:r>
      <w:r w:rsidRPr="00BC7FE3">
        <w:rPr>
          <w:rFonts w:cs="Times New Roman"/>
          <w:szCs w:val="20"/>
        </w:rPr>
        <w:t>Amelia</w:t>
      </w:r>
      <w:r>
        <w:rPr>
          <w:rFonts w:cs="Times New Roman"/>
          <w:szCs w:val="20"/>
        </w:rPr>
        <w:t>,</w:t>
      </w:r>
      <w:r w:rsidRPr="00BC7FE3">
        <w:rPr>
          <w:rFonts w:cs="Times New Roman"/>
          <w:szCs w:val="20"/>
        </w:rPr>
        <w:t xml:space="preserve"> ‘The High Court’s Conception of Discrimination: Origins, Applications, and Implications’ (2007) 29 </w:t>
      </w:r>
      <w:r w:rsidRPr="00BC7FE3">
        <w:rPr>
          <w:rFonts w:cs="Times New Roman"/>
          <w:i/>
          <w:szCs w:val="20"/>
        </w:rPr>
        <w:t>Sydney Law Review</w:t>
      </w:r>
      <w:r w:rsidRPr="00BC7FE3">
        <w:rPr>
          <w:rFonts w:cs="Times New Roman"/>
          <w:szCs w:val="20"/>
        </w:rPr>
        <w:t xml:space="preserve"> 263</w:t>
      </w:r>
      <w:r w:rsidR="003E231B">
        <w:rPr>
          <w:rFonts w:cs="Times New Roman"/>
          <w:szCs w:val="20"/>
        </w:rPr>
        <w:t>-95</w:t>
      </w:r>
    </w:p>
    <w:p w14:paraId="391AAD95" w14:textId="54E141E6" w:rsidR="007016B1" w:rsidRDefault="007016B1" w:rsidP="007016B1">
      <w:pPr>
        <w:ind w:left="720" w:hanging="720"/>
        <w:rPr>
          <w:rFonts w:cs="Times New Roman"/>
          <w:szCs w:val="20"/>
        </w:rPr>
      </w:pPr>
      <w:r>
        <w:rPr>
          <w:lang w:val="en-AU"/>
        </w:rPr>
        <w:t xml:space="preserve">Simpson, Amelia, ‘The (Limited) Significance of the Individual in Section 117 State Residence Discrimination’ (2008) 32 </w:t>
      </w:r>
      <w:r>
        <w:rPr>
          <w:i/>
          <w:lang w:val="en-AU"/>
        </w:rPr>
        <w:t xml:space="preserve">Melbourne University Law Review </w:t>
      </w:r>
      <w:r>
        <w:rPr>
          <w:lang w:val="en-AU"/>
        </w:rPr>
        <w:t>639</w:t>
      </w:r>
      <w:r w:rsidR="003E231B">
        <w:rPr>
          <w:lang w:val="en-AU"/>
        </w:rPr>
        <w:t>-71</w:t>
      </w:r>
    </w:p>
    <w:p w14:paraId="4F81F270" w14:textId="05392659" w:rsidR="007016B1" w:rsidRDefault="007016B1" w:rsidP="007016B1">
      <w:pPr>
        <w:ind w:left="720" w:hanging="720"/>
        <w:rPr>
          <w:rFonts w:cs="Times New Roman"/>
          <w:szCs w:val="20"/>
        </w:rPr>
      </w:pPr>
      <w:r>
        <w:rPr>
          <w:rFonts w:cs="Times New Roman"/>
          <w:szCs w:val="20"/>
        </w:rPr>
        <w:t xml:space="preserve">Simpson, Amelia, ‘Fortescue Metals Group Ltd </w:t>
      </w:r>
      <w:proofErr w:type="gramStart"/>
      <w:r>
        <w:rPr>
          <w:rFonts w:cs="Times New Roman"/>
          <w:szCs w:val="20"/>
        </w:rPr>
        <w:t>v</w:t>
      </w:r>
      <w:proofErr w:type="gramEnd"/>
      <w:r>
        <w:rPr>
          <w:rFonts w:cs="Times New Roman"/>
          <w:szCs w:val="20"/>
        </w:rPr>
        <w:t xml:space="preserve"> Commonwealth: Discrimination and Fiscal Federalism’ (2014) 25 </w:t>
      </w:r>
      <w:r>
        <w:rPr>
          <w:rFonts w:cs="Times New Roman"/>
          <w:i/>
          <w:szCs w:val="20"/>
        </w:rPr>
        <w:t xml:space="preserve">Public Law Review </w:t>
      </w:r>
      <w:r>
        <w:rPr>
          <w:rFonts w:cs="Times New Roman"/>
          <w:szCs w:val="20"/>
        </w:rPr>
        <w:t>93</w:t>
      </w:r>
      <w:r w:rsidR="003E231B">
        <w:rPr>
          <w:rFonts w:cs="Times New Roman"/>
          <w:szCs w:val="20"/>
        </w:rPr>
        <w:t>-98</w:t>
      </w:r>
    </w:p>
    <w:p w14:paraId="473E8D33" w14:textId="77777777" w:rsidR="007016B1" w:rsidRDefault="007016B1" w:rsidP="007016B1">
      <w:pPr>
        <w:rPr>
          <w:lang w:val="en-AU"/>
        </w:rPr>
      </w:pPr>
    </w:p>
    <w:p w14:paraId="45BBC78D" w14:textId="77777777" w:rsidR="007016B1" w:rsidRDefault="007016B1" w:rsidP="007016B1">
      <w:pPr>
        <w:jc w:val="center"/>
        <w:rPr>
          <w:lang w:val="en-AU"/>
        </w:rPr>
      </w:pPr>
      <w:r>
        <w:rPr>
          <w:lang w:val="en-AU"/>
        </w:rPr>
        <w:t xml:space="preserve">B </w:t>
      </w:r>
      <w:r>
        <w:rPr>
          <w:i/>
          <w:lang w:val="en-AU"/>
        </w:rPr>
        <w:t>Books</w:t>
      </w:r>
    </w:p>
    <w:p w14:paraId="4FE346E3" w14:textId="77777777" w:rsidR="007016B1" w:rsidRDefault="007016B1" w:rsidP="007016B1">
      <w:pPr>
        <w:rPr>
          <w:lang w:val="en-AU"/>
        </w:rPr>
      </w:pPr>
    </w:p>
    <w:p w14:paraId="5D23440F" w14:textId="77777777" w:rsidR="007016B1" w:rsidRDefault="007016B1" w:rsidP="007016B1">
      <w:pPr>
        <w:ind w:left="720" w:hanging="720"/>
        <w:rPr>
          <w:lang w:val="en-AU"/>
        </w:rPr>
      </w:pPr>
      <w:r>
        <w:rPr>
          <w:lang w:val="en-AU"/>
        </w:rPr>
        <w:t xml:space="preserve">Anderson, Ross, ‘The States and Relations </w:t>
      </w:r>
      <w:proofErr w:type="gramStart"/>
      <w:r>
        <w:rPr>
          <w:lang w:val="en-AU"/>
        </w:rPr>
        <w:t>With</w:t>
      </w:r>
      <w:proofErr w:type="gramEnd"/>
      <w:r>
        <w:rPr>
          <w:lang w:val="en-AU"/>
        </w:rPr>
        <w:t xml:space="preserve"> The Commonwealth’ in Justice Else-Mitchell, </w:t>
      </w:r>
      <w:r>
        <w:rPr>
          <w:i/>
          <w:lang w:val="en-AU"/>
        </w:rPr>
        <w:t xml:space="preserve">Essays on the Australian Constitution </w:t>
      </w:r>
      <w:r>
        <w:rPr>
          <w:lang w:val="en-AU"/>
        </w:rPr>
        <w:t>(Law Book, 2</w:t>
      </w:r>
      <w:r w:rsidRPr="00B30A2E">
        <w:rPr>
          <w:vertAlign w:val="superscript"/>
          <w:lang w:val="en-AU"/>
        </w:rPr>
        <w:t>nd</w:t>
      </w:r>
      <w:r>
        <w:rPr>
          <w:lang w:val="en-AU"/>
        </w:rPr>
        <w:t xml:space="preserve"> ed, 1961)</w:t>
      </w:r>
    </w:p>
    <w:p w14:paraId="2CF6EC3C" w14:textId="77777777" w:rsidR="007016B1" w:rsidRDefault="007016B1" w:rsidP="007016B1">
      <w:pPr>
        <w:ind w:left="720" w:hanging="720"/>
        <w:rPr>
          <w:lang w:val="en-AU"/>
        </w:rPr>
      </w:pPr>
      <w:r>
        <w:rPr>
          <w:lang w:val="en-AU"/>
        </w:rPr>
        <w:t xml:space="preserve">Castan, Melissa and Sarah Joseph, </w:t>
      </w:r>
      <w:r>
        <w:rPr>
          <w:i/>
          <w:lang w:val="en-AU"/>
        </w:rPr>
        <w:t xml:space="preserve">Federal Constitutional Law </w:t>
      </w:r>
      <w:r>
        <w:rPr>
          <w:lang w:val="en-AU"/>
        </w:rPr>
        <w:t>(Lawbook, 2001)</w:t>
      </w:r>
    </w:p>
    <w:p w14:paraId="17D18C25" w14:textId="77777777" w:rsidR="007016B1" w:rsidRDefault="007016B1" w:rsidP="007016B1">
      <w:pPr>
        <w:ind w:left="720" w:hanging="720"/>
      </w:pPr>
      <w:r>
        <w:rPr>
          <w:lang w:val="en-AU"/>
        </w:rPr>
        <w:t xml:space="preserve">Coper, Michael, ‘The Economic Framework of the Australian Federation: A Question of Balance’ in Gregory Craven (ed), </w:t>
      </w:r>
      <w:r>
        <w:rPr>
          <w:i/>
          <w:lang w:val="en-AU"/>
        </w:rPr>
        <w:t xml:space="preserve">Australian Federation: Towards the Second Century </w:t>
      </w:r>
      <w:r>
        <w:rPr>
          <w:lang w:val="en-AU"/>
        </w:rPr>
        <w:t>(Melbourne University Press, 1992)</w:t>
      </w:r>
    </w:p>
    <w:p w14:paraId="1C8CF48A" w14:textId="5BF8B887" w:rsidR="00D23C97" w:rsidRDefault="00D23C97" w:rsidP="007016B1">
      <w:pPr>
        <w:ind w:left="720" w:hanging="720"/>
      </w:pPr>
      <w:r>
        <w:rPr>
          <w:lang w:val="en-AU"/>
        </w:rPr>
        <w:t xml:space="preserve">Evans, Gareth, ‘The Most Dangerous Branch? The High Court and the Constitution in a Changing Society’ in David Hambly and John Goldring (eds), </w:t>
      </w:r>
      <w:r>
        <w:rPr>
          <w:i/>
          <w:lang w:val="en-AU"/>
        </w:rPr>
        <w:t xml:space="preserve">Australian Lawyers and Social Change </w:t>
      </w:r>
      <w:r>
        <w:rPr>
          <w:lang w:val="en-AU"/>
        </w:rPr>
        <w:t>(Law Book, 1976)</w:t>
      </w:r>
    </w:p>
    <w:p w14:paraId="5CFA32D1" w14:textId="77777777" w:rsidR="007016B1" w:rsidRDefault="007016B1" w:rsidP="007016B1">
      <w:pPr>
        <w:ind w:left="720" w:hanging="720"/>
      </w:pPr>
      <w:r>
        <w:t xml:space="preserve">Galligan, Brian, ‘Fiscal federalism: then and now’ in Gabrielle Appleby, Nicholas Aroney and Thomas John (eds), </w:t>
      </w:r>
      <w:r>
        <w:rPr>
          <w:i/>
        </w:rPr>
        <w:t xml:space="preserve">The Future of Australian Federalism </w:t>
      </w:r>
      <w:r>
        <w:t>(Cambridge University Press, 2012)</w:t>
      </w:r>
    </w:p>
    <w:p w14:paraId="057C71CB" w14:textId="77777777" w:rsidR="007016B1" w:rsidRDefault="007016B1" w:rsidP="007016B1">
      <w:pPr>
        <w:ind w:left="720" w:hanging="720"/>
      </w:pPr>
      <w:r>
        <w:rPr>
          <w:lang w:val="en-AU"/>
        </w:rPr>
        <w:t xml:space="preserve">Harris, Peter and David Oliver, </w:t>
      </w:r>
      <w:r>
        <w:rPr>
          <w:i/>
          <w:lang w:val="en-AU"/>
        </w:rPr>
        <w:t xml:space="preserve">International Commercial Tax </w:t>
      </w:r>
      <w:r>
        <w:rPr>
          <w:lang w:val="en-AU"/>
        </w:rPr>
        <w:t>(Cambridge University Press, 2010)</w:t>
      </w:r>
    </w:p>
    <w:p w14:paraId="12262183" w14:textId="77777777" w:rsidR="007016B1" w:rsidRDefault="007016B1" w:rsidP="007016B1">
      <w:pPr>
        <w:ind w:left="720" w:hanging="720"/>
      </w:pPr>
      <w:r>
        <w:t xml:space="preserve">La Nauze, John, </w:t>
      </w:r>
      <w:r>
        <w:rPr>
          <w:i/>
        </w:rPr>
        <w:t xml:space="preserve">The Making of the Australian Constitution </w:t>
      </w:r>
      <w:r>
        <w:t>(Melbourne University Press, 1972)</w:t>
      </w:r>
    </w:p>
    <w:p w14:paraId="5BE04ADF" w14:textId="77777777" w:rsidR="007016B1" w:rsidRDefault="007016B1" w:rsidP="007016B1">
      <w:pPr>
        <w:ind w:left="720" w:hanging="720"/>
      </w:pPr>
      <w:r>
        <w:t xml:space="preserve">Lane, P H, </w:t>
      </w:r>
      <w:r>
        <w:rPr>
          <w:i/>
        </w:rPr>
        <w:t xml:space="preserve">The Australian Federal System </w:t>
      </w:r>
      <w:r>
        <w:t>(Law Book, 2</w:t>
      </w:r>
      <w:r w:rsidRPr="00B14C47">
        <w:rPr>
          <w:vertAlign w:val="superscript"/>
        </w:rPr>
        <w:t>nd</w:t>
      </w:r>
      <w:r>
        <w:t xml:space="preserve"> ed, 1979)</w:t>
      </w:r>
    </w:p>
    <w:p w14:paraId="46A53443" w14:textId="77777777" w:rsidR="007016B1" w:rsidRDefault="007016B1" w:rsidP="007016B1">
      <w:pPr>
        <w:ind w:left="720" w:hanging="720"/>
      </w:pPr>
      <w:r>
        <w:rPr>
          <w:rFonts w:cs="Times New Roman"/>
          <w:szCs w:val="20"/>
        </w:rPr>
        <w:t xml:space="preserve">Menhennitt, C I, ‘Freedom and Preference in Inter-State Trade’ in Justice Else-Mitchell, </w:t>
      </w:r>
      <w:r>
        <w:rPr>
          <w:rFonts w:cs="Times New Roman"/>
          <w:i/>
          <w:szCs w:val="20"/>
        </w:rPr>
        <w:t xml:space="preserve">Essays on the Australian Constitution </w:t>
      </w:r>
      <w:r>
        <w:rPr>
          <w:rFonts w:cs="Times New Roman"/>
          <w:szCs w:val="20"/>
        </w:rPr>
        <w:t>(Law Book, 2</w:t>
      </w:r>
      <w:r w:rsidRPr="004E10C4">
        <w:rPr>
          <w:rFonts w:cs="Times New Roman"/>
          <w:szCs w:val="20"/>
          <w:vertAlign w:val="superscript"/>
        </w:rPr>
        <w:t>nd</w:t>
      </w:r>
      <w:r>
        <w:rPr>
          <w:rFonts w:cs="Times New Roman"/>
          <w:szCs w:val="20"/>
        </w:rPr>
        <w:t xml:space="preserve"> ed, 1961)</w:t>
      </w:r>
    </w:p>
    <w:p w14:paraId="4AD2D3B8" w14:textId="77777777" w:rsidR="007016B1" w:rsidRDefault="007016B1" w:rsidP="007016B1">
      <w:pPr>
        <w:ind w:left="720" w:hanging="720"/>
      </w:pPr>
      <w:r>
        <w:t xml:space="preserve">Moore, W Harrison, </w:t>
      </w:r>
      <w:r>
        <w:rPr>
          <w:i/>
        </w:rPr>
        <w:t xml:space="preserve">The Constitution of </w:t>
      </w:r>
      <w:proofErr w:type="gramStart"/>
      <w:r>
        <w:rPr>
          <w:i/>
        </w:rPr>
        <w:t>The</w:t>
      </w:r>
      <w:proofErr w:type="gramEnd"/>
      <w:r>
        <w:rPr>
          <w:i/>
        </w:rPr>
        <w:t xml:space="preserve"> Commonwealth of Australia </w:t>
      </w:r>
      <w:r>
        <w:t>(Charles Maxwell, 2</w:t>
      </w:r>
      <w:r w:rsidRPr="006C5B86">
        <w:rPr>
          <w:vertAlign w:val="superscript"/>
        </w:rPr>
        <w:t>nd</w:t>
      </w:r>
      <w:r>
        <w:t xml:space="preserve"> ed, 1910)</w:t>
      </w:r>
    </w:p>
    <w:p w14:paraId="15110A78" w14:textId="77777777" w:rsidR="007016B1" w:rsidRDefault="007016B1" w:rsidP="007016B1">
      <w:pPr>
        <w:ind w:left="720" w:hanging="720"/>
      </w:pPr>
      <w:r>
        <w:lastRenderedPageBreak/>
        <w:t xml:space="preserve">Oberson, Xavier and Howard Hull, </w:t>
      </w:r>
      <w:r>
        <w:rPr>
          <w:i/>
        </w:rPr>
        <w:t xml:space="preserve">Switzerland in International Tax Law </w:t>
      </w:r>
      <w:r>
        <w:t>(IBFD, 2011)</w:t>
      </w:r>
    </w:p>
    <w:p w14:paraId="49CB6227" w14:textId="77777777" w:rsidR="007016B1" w:rsidRDefault="007016B1" w:rsidP="007016B1">
      <w:pPr>
        <w:ind w:left="720" w:hanging="720"/>
      </w:pPr>
      <w:r>
        <w:t xml:space="preserve">Quick, John and Robert Garran, </w:t>
      </w:r>
      <w:r>
        <w:rPr>
          <w:i/>
        </w:rPr>
        <w:t xml:space="preserve">The Annotated Constitution of the Australian Commonwealth </w:t>
      </w:r>
      <w:r>
        <w:t>(Angus &amp; Robertson, 1901)</w:t>
      </w:r>
    </w:p>
    <w:p w14:paraId="1A8153BA" w14:textId="77777777" w:rsidR="007016B1" w:rsidRDefault="007016B1" w:rsidP="007016B1">
      <w:pPr>
        <w:ind w:left="720" w:hanging="720"/>
      </w:pPr>
      <w:r>
        <w:t xml:space="preserve">Rose, Dennis, ‘Discrimination, Uniformity and Preference – Some Aspects of the Express Constitutional Provisions’ in Leslie Zines (ed), </w:t>
      </w:r>
      <w:r>
        <w:rPr>
          <w:i/>
        </w:rPr>
        <w:t xml:space="preserve">Commentaries on the Australian Constitution </w:t>
      </w:r>
      <w:r>
        <w:t>(Butterworths, 1977)</w:t>
      </w:r>
    </w:p>
    <w:p w14:paraId="6E75CD13" w14:textId="77777777" w:rsidR="007016B1" w:rsidRDefault="007016B1" w:rsidP="007016B1">
      <w:pPr>
        <w:ind w:left="720" w:hanging="720"/>
        <w:rPr>
          <w:lang w:val="en-AU"/>
        </w:rPr>
      </w:pPr>
      <w:r>
        <w:rPr>
          <w:lang w:val="en-AU"/>
        </w:rPr>
        <w:t xml:space="preserve">Rose, Dennis, ‘Discrimination and Preference’ in Graham Brennan (ed), </w:t>
      </w:r>
      <w:r>
        <w:rPr>
          <w:i/>
          <w:lang w:val="en-AU"/>
        </w:rPr>
        <w:t xml:space="preserve">Constitutional Reform and Fiscal Federalism </w:t>
      </w:r>
      <w:r>
        <w:rPr>
          <w:lang w:val="en-AU"/>
        </w:rPr>
        <w:t>(</w:t>
      </w:r>
      <w:r w:rsidRPr="000E0335">
        <w:rPr>
          <w:lang w:val="en-AU"/>
        </w:rPr>
        <w:t>Centre for Research</w:t>
      </w:r>
      <w:r>
        <w:rPr>
          <w:lang w:val="en-AU"/>
        </w:rPr>
        <w:t xml:space="preserve"> on Federal Financial Relations,</w:t>
      </w:r>
      <w:r w:rsidRPr="000E0335">
        <w:rPr>
          <w:lang w:val="en-AU"/>
        </w:rPr>
        <w:t xml:space="preserve"> ANU Occasional Paper No 42, 1987</w:t>
      </w:r>
      <w:r>
        <w:rPr>
          <w:lang w:val="en-AU"/>
        </w:rPr>
        <w:t>)</w:t>
      </w:r>
    </w:p>
    <w:p w14:paraId="38494F2F" w14:textId="77777777" w:rsidR="007016B1" w:rsidRDefault="007016B1" w:rsidP="007016B1">
      <w:pPr>
        <w:ind w:left="720" w:hanging="720"/>
        <w:rPr>
          <w:lang w:val="en-AU"/>
        </w:rPr>
      </w:pPr>
      <w:r>
        <w:rPr>
          <w:lang w:val="en-AU"/>
        </w:rPr>
        <w:t xml:space="preserve">Sardadvar, Sascha, </w:t>
      </w:r>
      <w:r>
        <w:rPr>
          <w:i/>
          <w:lang w:val="en-AU"/>
        </w:rPr>
        <w:t xml:space="preserve">Economic Growth in the Regions of Europe </w:t>
      </w:r>
      <w:r>
        <w:rPr>
          <w:lang w:val="en-AU"/>
        </w:rPr>
        <w:t>(Physica-Verlag, 2011)</w:t>
      </w:r>
    </w:p>
    <w:p w14:paraId="6F6F8C86" w14:textId="77777777" w:rsidR="007016B1" w:rsidRDefault="007016B1" w:rsidP="007016B1">
      <w:pPr>
        <w:ind w:left="720" w:hanging="720"/>
        <w:rPr>
          <w:lang w:val="en-AU"/>
        </w:rPr>
      </w:pPr>
      <w:r>
        <w:rPr>
          <w:lang w:val="en-AU"/>
        </w:rPr>
        <w:t xml:space="preserve">Saunders, Cheryl, ‘Fiscal Federalism – A General and Unholy Scramble’ in Gregory Craven (ed), </w:t>
      </w:r>
      <w:r>
        <w:rPr>
          <w:i/>
          <w:lang w:val="en-AU"/>
        </w:rPr>
        <w:t xml:space="preserve">Australian Federation: Towards the Second Century </w:t>
      </w:r>
      <w:r>
        <w:rPr>
          <w:lang w:val="en-AU"/>
        </w:rPr>
        <w:t>(Melbourne University Press, 1992)</w:t>
      </w:r>
    </w:p>
    <w:p w14:paraId="256ED157" w14:textId="77777777" w:rsidR="007016B1" w:rsidRDefault="007016B1" w:rsidP="007016B1">
      <w:pPr>
        <w:ind w:left="720" w:hanging="720"/>
        <w:rPr>
          <w:lang w:val="en-AU"/>
        </w:rPr>
      </w:pPr>
      <w:r>
        <w:rPr>
          <w:lang w:val="en-AU"/>
        </w:rPr>
        <w:t xml:space="preserve">Saunders, Cheryl, ‘Concepts of Equality in the Australian Constitution’ in Geoffrey Lindell (ed), </w:t>
      </w:r>
      <w:r>
        <w:rPr>
          <w:i/>
          <w:lang w:val="en-AU"/>
        </w:rPr>
        <w:t xml:space="preserve">Future Directions in Australian Constitutional Law </w:t>
      </w:r>
      <w:r>
        <w:rPr>
          <w:lang w:val="en-AU"/>
        </w:rPr>
        <w:t>(Federation Press, 1994)</w:t>
      </w:r>
    </w:p>
    <w:p w14:paraId="2761B65F" w14:textId="77777777" w:rsidR="007016B1" w:rsidRDefault="007016B1" w:rsidP="007016B1">
      <w:pPr>
        <w:ind w:left="720" w:hanging="720"/>
        <w:rPr>
          <w:lang w:val="en-AU"/>
        </w:rPr>
      </w:pPr>
      <w:r>
        <w:rPr>
          <w:lang w:val="en-AU"/>
        </w:rPr>
        <w:t xml:space="preserve">Sawer, Geoffrey, </w:t>
      </w:r>
      <w:r>
        <w:rPr>
          <w:i/>
          <w:lang w:val="en-AU"/>
        </w:rPr>
        <w:t xml:space="preserve">Australian Federalism in the Courts </w:t>
      </w:r>
      <w:r>
        <w:rPr>
          <w:lang w:val="en-AU"/>
        </w:rPr>
        <w:t>(Melbourne University Press, 1967)</w:t>
      </w:r>
    </w:p>
    <w:p w14:paraId="6A9E2417" w14:textId="77777777" w:rsidR="007016B1" w:rsidRDefault="007016B1" w:rsidP="007016B1">
      <w:pPr>
        <w:ind w:left="720" w:hanging="720"/>
        <w:rPr>
          <w:rFonts w:cs="Times New Roman"/>
          <w:szCs w:val="20"/>
        </w:rPr>
      </w:pPr>
      <w:r>
        <w:t xml:space="preserve">Schütze, Robert, </w:t>
      </w:r>
      <w:r>
        <w:rPr>
          <w:i/>
        </w:rPr>
        <w:t xml:space="preserve">European Constitutional Law </w:t>
      </w:r>
      <w:r>
        <w:t>(Cambridge University Press, 2012)</w:t>
      </w:r>
    </w:p>
    <w:p w14:paraId="02D20FDA" w14:textId="43262996" w:rsidR="00D23C97" w:rsidRDefault="00D23C97" w:rsidP="007016B1">
      <w:pPr>
        <w:ind w:left="720" w:hanging="720"/>
        <w:rPr>
          <w:lang w:val="en-AU"/>
        </w:rPr>
      </w:pPr>
      <w:r>
        <w:rPr>
          <w:lang w:val="en-AU"/>
        </w:rPr>
        <w:t xml:space="preserve">Stellios, James, </w:t>
      </w:r>
      <w:r>
        <w:rPr>
          <w:i/>
          <w:lang w:val="en-AU"/>
        </w:rPr>
        <w:t xml:space="preserve">Zines’s The High Court and the Constitution </w:t>
      </w:r>
      <w:r>
        <w:rPr>
          <w:lang w:val="en-AU"/>
        </w:rPr>
        <w:t>(Federation Press, 6</w:t>
      </w:r>
      <w:r w:rsidRPr="00D23C97">
        <w:rPr>
          <w:vertAlign w:val="superscript"/>
          <w:lang w:val="en-AU"/>
        </w:rPr>
        <w:t>th</w:t>
      </w:r>
      <w:r>
        <w:rPr>
          <w:lang w:val="en-AU"/>
        </w:rPr>
        <w:t xml:space="preserve"> ed, 2015)</w:t>
      </w:r>
    </w:p>
    <w:p w14:paraId="4FDB6E6E" w14:textId="77777777" w:rsidR="007016B1" w:rsidRDefault="007016B1" w:rsidP="007016B1">
      <w:pPr>
        <w:ind w:left="720" w:hanging="720"/>
        <w:rPr>
          <w:lang w:val="en-AU"/>
        </w:rPr>
      </w:pPr>
      <w:r>
        <w:rPr>
          <w:lang w:val="en-AU"/>
        </w:rPr>
        <w:t xml:space="preserve">Wynes, W Anstey, </w:t>
      </w:r>
      <w:r>
        <w:rPr>
          <w:i/>
          <w:lang w:val="en-AU"/>
        </w:rPr>
        <w:t xml:space="preserve">Legislative, Executive and Judicial Powers in Australia </w:t>
      </w:r>
      <w:r>
        <w:rPr>
          <w:lang w:val="en-AU"/>
        </w:rPr>
        <w:t>(Law Book, 4</w:t>
      </w:r>
      <w:r w:rsidRPr="00391E86">
        <w:rPr>
          <w:vertAlign w:val="superscript"/>
          <w:lang w:val="en-AU"/>
        </w:rPr>
        <w:t>th</w:t>
      </w:r>
      <w:r>
        <w:rPr>
          <w:lang w:val="en-AU"/>
        </w:rPr>
        <w:t> ed, 1970)</w:t>
      </w:r>
    </w:p>
    <w:p w14:paraId="30285744" w14:textId="77777777" w:rsidR="007016B1" w:rsidRDefault="007016B1" w:rsidP="007016B1">
      <w:pPr>
        <w:jc w:val="center"/>
        <w:rPr>
          <w:lang w:val="en-AU"/>
        </w:rPr>
      </w:pPr>
    </w:p>
    <w:p w14:paraId="16A8955C" w14:textId="77777777" w:rsidR="007016B1" w:rsidRPr="006E797E" w:rsidRDefault="007016B1" w:rsidP="007016B1">
      <w:pPr>
        <w:jc w:val="center"/>
        <w:rPr>
          <w:i/>
          <w:lang w:val="en-AU"/>
        </w:rPr>
      </w:pPr>
      <w:r>
        <w:rPr>
          <w:lang w:val="en-AU"/>
        </w:rPr>
        <w:t xml:space="preserve">C </w:t>
      </w:r>
      <w:r>
        <w:rPr>
          <w:i/>
          <w:lang w:val="en-AU"/>
        </w:rPr>
        <w:t>Reports</w:t>
      </w:r>
    </w:p>
    <w:p w14:paraId="5C76B31A" w14:textId="77777777" w:rsidR="007016B1" w:rsidRDefault="007016B1" w:rsidP="007016B1">
      <w:pPr>
        <w:rPr>
          <w:lang w:val="en-AU"/>
        </w:rPr>
      </w:pPr>
    </w:p>
    <w:p w14:paraId="50C1CDA0" w14:textId="77777777" w:rsidR="007016B1" w:rsidRDefault="007016B1" w:rsidP="007016B1">
      <w:pPr>
        <w:ind w:left="720" w:hanging="720"/>
        <w:rPr>
          <w:lang w:val="en-AU"/>
        </w:rPr>
      </w:pPr>
      <w:r>
        <w:t xml:space="preserve">Commonwealth, Australia’s Future Tax System Review, </w:t>
      </w:r>
      <w:r>
        <w:rPr>
          <w:i/>
        </w:rPr>
        <w:t xml:space="preserve">Report to the Treasurer </w:t>
      </w:r>
      <w:r>
        <w:t>(December 2009)</w:t>
      </w:r>
    </w:p>
    <w:p w14:paraId="35FA6385" w14:textId="77777777" w:rsidR="007016B1" w:rsidRDefault="007016B1" w:rsidP="007016B1">
      <w:pPr>
        <w:ind w:left="720" w:hanging="720"/>
        <w:rPr>
          <w:lang w:val="en-AU"/>
        </w:rPr>
      </w:pPr>
      <w:r>
        <w:rPr>
          <w:lang w:val="en-AU"/>
        </w:rPr>
        <w:t xml:space="preserve">Commonwealth, </w:t>
      </w:r>
      <w:r>
        <w:rPr>
          <w:i/>
          <w:lang w:val="en-AU"/>
        </w:rPr>
        <w:t xml:space="preserve">Our North, Our Future: White Paper on Developing Northern Australia </w:t>
      </w:r>
      <w:r>
        <w:rPr>
          <w:lang w:val="en-AU"/>
        </w:rPr>
        <w:t>(2015)</w:t>
      </w:r>
    </w:p>
    <w:p w14:paraId="61C8AA79" w14:textId="77777777" w:rsidR="007016B1" w:rsidRDefault="007016B1" w:rsidP="007016B1">
      <w:pPr>
        <w:ind w:left="720" w:hanging="720"/>
        <w:rPr>
          <w:lang w:val="en-AU"/>
        </w:rPr>
      </w:pPr>
      <w:r w:rsidRPr="00911854">
        <w:rPr>
          <w:lang w:val="en-AU"/>
        </w:rPr>
        <w:t xml:space="preserve">Commonwealth, </w:t>
      </w:r>
      <w:r w:rsidRPr="00911854">
        <w:rPr>
          <w:i/>
          <w:lang w:val="en-AU"/>
        </w:rPr>
        <w:t xml:space="preserve">Report of the Public Inquiry into Income Tax Zone Allowances, </w:t>
      </w:r>
      <w:r>
        <w:rPr>
          <w:lang w:val="en-AU"/>
        </w:rPr>
        <w:t>Parl Paper No 149 (1981)</w:t>
      </w:r>
    </w:p>
    <w:p w14:paraId="6A40D6E5" w14:textId="77777777" w:rsidR="007016B1" w:rsidRDefault="007016B1" w:rsidP="007016B1">
      <w:pPr>
        <w:rPr>
          <w:lang w:val="en-AU"/>
        </w:rPr>
      </w:pPr>
    </w:p>
    <w:p w14:paraId="54810175" w14:textId="77777777" w:rsidR="007016B1" w:rsidRDefault="007016B1" w:rsidP="007016B1">
      <w:pPr>
        <w:jc w:val="center"/>
        <w:rPr>
          <w:lang w:val="en-AU"/>
        </w:rPr>
      </w:pPr>
      <w:r>
        <w:rPr>
          <w:lang w:val="en-AU"/>
        </w:rPr>
        <w:t xml:space="preserve">D </w:t>
      </w:r>
      <w:r>
        <w:rPr>
          <w:i/>
          <w:lang w:val="en-AU"/>
        </w:rPr>
        <w:t>Cases</w:t>
      </w:r>
    </w:p>
    <w:p w14:paraId="7421BF6A" w14:textId="77777777" w:rsidR="007016B1" w:rsidRDefault="007016B1" w:rsidP="007016B1">
      <w:pPr>
        <w:rPr>
          <w:lang w:val="en-AU"/>
        </w:rPr>
      </w:pPr>
    </w:p>
    <w:p w14:paraId="4DB94483" w14:textId="77777777" w:rsidR="007016B1" w:rsidRDefault="007016B1" w:rsidP="007016B1">
      <w:pPr>
        <w:ind w:left="720" w:hanging="720"/>
        <w:rPr>
          <w:i/>
        </w:rPr>
      </w:pPr>
      <w:r>
        <w:rPr>
          <w:i/>
          <w:lang w:val="en-AU"/>
        </w:rPr>
        <w:t xml:space="preserve">Allders International Pty Ltd </w:t>
      </w:r>
      <w:proofErr w:type="gramStart"/>
      <w:r>
        <w:rPr>
          <w:i/>
          <w:lang w:val="en-AU"/>
        </w:rPr>
        <w:t>v</w:t>
      </w:r>
      <w:proofErr w:type="gramEnd"/>
      <w:r>
        <w:rPr>
          <w:i/>
          <w:lang w:val="en-AU"/>
        </w:rPr>
        <w:t xml:space="preserve"> Commissioner of State Revenue (Vic) </w:t>
      </w:r>
      <w:r>
        <w:rPr>
          <w:lang w:val="en-AU"/>
        </w:rPr>
        <w:t>(1996) 186 CLR 630</w:t>
      </w:r>
    </w:p>
    <w:p w14:paraId="57862AEF" w14:textId="77777777" w:rsidR="007016B1" w:rsidRDefault="007016B1" w:rsidP="007016B1">
      <w:pPr>
        <w:ind w:left="720" w:hanging="720"/>
      </w:pPr>
      <w:r w:rsidRPr="000322E1">
        <w:rPr>
          <w:i/>
        </w:rPr>
        <w:t>Amalgamated Society of Engineers v Adelaide Steamship Co Ltd</w:t>
      </w:r>
      <w:r>
        <w:rPr>
          <w:i/>
        </w:rPr>
        <w:t xml:space="preserve"> </w:t>
      </w:r>
      <w:r w:rsidRPr="000322E1">
        <w:t>(1920) 28 CLR 129</w:t>
      </w:r>
    </w:p>
    <w:p w14:paraId="5129E864" w14:textId="77777777" w:rsidR="007016B1" w:rsidRDefault="007016B1" w:rsidP="007016B1">
      <w:pPr>
        <w:ind w:left="720" w:hanging="720"/>
        <w:rPr>
          <w:i/>
          <w:lang w:val="en-AU"/>
        </w:rPr>
      </w:pPr>
      <w:r>
        <w:rPr>
          <w:i/>
          <w:lang w:val="en-AU"/>
        </w:rPr>
        <w:t xml:space="preserve">Arthur Yates &amp; Co Pty Ltd </w:t>
      </w:r>
      <w:proofErr w:type="gramStart"/>
      <w:r>
        <w:rPr>
          <w:i/>
          <w:lang w:val="en-AU"/>
        </w:rPr>
        <w:t>v</w:t>
      </w:r>
      <w:proofErr w:type="gramEnd"/>
      <w:r>
        <w:rPr>
          <w:i/>
          <w:lang w:val="en-AU"/>
        </w:rPr>
        <w:t xml:space="preserve"> Vegetable Seeds Committee </w:t>
      </w:r>
      <w:r>
        <w:rPr>
          <w:lang w:val="en-AU"/>
        </w:rPr>
        <w:t>(1945) 72 CLR 37</w:t>
      </w:r>
    </w:p>
    <w:p w14:paraId="4FC52ECD" w14:textId="77777777" w:rsidR="007016B1" w:rsidRDefault="007016B1" w:rsidP="007016B1">
      <w:pPr>
        <w:ind w:left="720" w:hanging="720"/>
        <w:rPr>
          <w:lang w:val="en-AU"/>
        </w:rPr>
      </w:pPr>
      <w:r>
        <w:rPr>
          <w:i/>
          <w:lang w:val="en-AU"/>
        </w:rPr>
        <w:t xml:space="preserve">Austin v Commonwealth </w:t>
      </w:r>
      <w:r>
        <w:rPr>
          <w:lang w:val="en-AU"/>
        </w:rPr>
        <w:t>(2003) 215 CLR 185</w:t>
      </w:r>
    </w:p>
    <w:p w14:paraId="5AA14C95" w14:textId="77777777" w:rsidR="007016B1" w:rsidRDefault="007016B1" w:rsidP="007016B1">
      <w:pPr>
        <w:ind w:left="720" w:hanging="720"/>
        <w:rPr>
          <w:i/>
          <w:lang w:val="en-AU"/>
        </w:rPr>
      </w:pPr>
      <w:r>
        <w:rPr>
          <w:i/>
          <w:lang w:val="en-AU"/>
        </w:rPr>
        <w:t xml:space="preserve">Bayside City Council v Telstra Corporation Ltd </w:t>
      </w:r>
      <w:r>
        <w:rPr>
          <w:lang w:val="en-AU"/>
        </w:rPr>
        <w:t>(2004) 216 CLR 595</w:t>
      </w:r>
    </w:p>
    <w:p w14:paraId="7903CF5C" w14:textId="77777777" w:rsidR="007016B1" w:rsidRDefault="007016B1" w:rsidP="007016B1">
      <w:pPr>
        <w:ind w:left="720" w:hanging="720"/>
        <w:rPr>
          <w:lang w:val="en-AU"/>
        </w:rPr>
      </w:pPr>
      <w:r>
        <w:rPr>
          <w:i/>
          <w:lang w:val="en-AU"/>
        </w:rPr>
        <w:t xml:space="preserve">Betfair Pty Ltd </w:t>
      </w:r>
      <w:proofErr w:type="gramStart"/>
      <w:r>
        <w:rPr>
          <w:i/>
          <w:lang w:val="en-AU"/>
        </w:rPr>
        <w:t>v</w:t>
      </w:r>
      <w:proofErr w:type="gramEnd"/>
      <w:r>
        <w:rPr>
          <w:i/>
          <w:lang w:val="en-AU"/>
        </w:rPr>
        <w:t xml:space="preserve"> Western Australia </w:t>
      </w:r>
      <w:r>
        <w:rPr>
          <w:lang w:val="en-AU"/>
        </w:rPr>
        <w:t>(2008) 234 CLR 418</w:t>
      </w:r>
    </w:p>
    <w:p w14:paraId="2236F775" w14:textId="77777777" w:rsidR="007016B1" w:rsidRDefault="007016B1" w:rsidP="007016B1">
      <w:pPr>
        <w:ind w:left="720" w:hanging="720"/>
        <w:rPr>
          <w:lang w:val="en-AU"/>
        </w:rPr>
      </w:pPr>
      <w:r>
        <w:rPr>
          <w:i/>
          <w:lang w:val="en-AU"/>
        </w:rPr>
        <w:t xml:space="preserve">Cameron v Deputy Federal Commissioner of Taxation (Tas) </w:t>
      </w:r>
      <w:r>
        <w:rPr>
          <w:lang w:val="en-AU"/>
        </w:rPr>
        <w:t>(1923) 32 CLR 68</w:t>
      </w:r>
    </w:p>
    <w:p w14:paraId="31C000DF" w14:textId="77777777" w:rsidR="007016B1" w:rsidRDefault="007016B1" w:rsidP="007016B1">
      <w:pPr>
        <w:ind w:left="720" w:hanging="720"/>
      </w:pPr>
      <w:r>
        <w:rPr>
          <w:i/>
        </w:rPr>
        <w:t xml:space="preserve">Castlemaine Tooheys Ltd v South Australia </w:t>
      </w:r>
      <w:r>
        <w:t>(1990) 169 CLR 436</w:t>
      </w:r>
    </w:p>
    <w:p w14:paraId="2DEE3BC9" w14:textId="77777777" w:rsidR="007016B1" w:rsidRDefault="007016B1" w:rsidP="007016B1">
      <w:pPr>
        <w:ind w:left="720" w:hanging="720"/>
        <w:rPr>
          <w:lang w:val="en-AU"/>
        </w:rPr>
      </w:pPr>
      <w:r>
        <w:rPr>
          <w:i/>
          <w:lang w:val="en-AU"/>
        </w:rPr>
        <w:t xml:space="preserve">Cole v Whitfield </w:t>
      </w:r>
      <w:r>
        <w:rPr>
          <w:lang w:val="en-AU"/>
        </w:rPr>
        <w:t>(1988) 165 CLR 360</w:t>
      </w:r>
    </w:p>
    <w:p w14:paraId="27786084" w14:textId="77777777" w:rsidR="007016B1" w:rsidRDefault="007016B1" w:rsidP="007016B1">
      <w:pPr>
        <w:ind w:left="720" w:hanging="720"/>
      </w:pPr>
      <w:r>
        <w:rPr>
          <w:i/>
        </w:rPr>
        <w:t xml:space="preserve">Colonial Sugar Refining Co Ltd v Irving </w:t>
      </w:r>
      <w:r>
        <w:t>[1903] St R Q 261</w:t>
      </w:r>
    </w:p>
    <w:p w14:paraId="501B8144" w14:textId="77777777" w:rsidR="007016B1" w:rsidRDefault="007016B1" w:rsidP="007016B1">
      <w:pPr>
        <w:ind w:left="720" w:hanging="720"/>
      </w:pPr>
      <w:r>
        <w:rPr>
          <w:i/>
        </w:rPr>
        <w:t xml:space="preserve">Colonial Sugar Refining Co Ltd v Irving </w:t>
      </w:r>
      <w:r>
        <w:t>[1906] AC 360</w:t>
      </w:r>
    </w:p>
    <w:p w14:paraId="4A3AFB53" w14:textId="77777777" w:rsidR="007016B1" w:rsidRDefault="007016B1" w:rsidP="007016B1">
      <w:pPr>
        <w:ind w:left="720" w:hanging="720"/>
        <w:rPr>
          <w:lang w:val="en-AU"/>
        </w:rPr>
      </w:pPr>
      <w:r w:rsidRPr="00272ED2">
        <w:rPr>
          <w:i/>
          <w:lang w:val="en-AU"/>
        </w:rPr>
        <w:t xml:space="preserve">Commissioner of Taxation v Clyne </w:t>
      </w:r>
      <w:r w:rsidRPr="00272ED2">
        <w:rPr>
          <w:lang w:val="en-AU"/>
        </w:rPr>
        <w:t>(1958) 100 CLR 246</w:t>
      </w:r>
    </w:p>
    <w:p w14:paraId="53C86F06" w14:textId="77777777" w:rsidR="007016B1" w:rsidRDefault="007016B1" w:rsidP="007016B1">
      <w:pPr>
        <w:ind w:left="720" w:hanging="720"/>
        <w:rPr>
          <w:i/>
        </w:rPr>
      </w:pPr>
      <w:r>
        <w:rPr>
          <w:i/>
        </w:rPr>
        <w:t xml:space="preserve">Conroy v Carter </w:t>
      </w:r>
      <w:r>
        <w:rPr>
          <w:lang w:val="en-AU"/>
        </w:rPr>
        <w:t>(1968) 118 CLR 90</w:t>
      </w:r>
    </w:p>
    <w:p w14:paraId="4B582B25" w14:textId="77777777" w:rsidR="007016B1" w:rsidRDefault="007016B1" w:rsidP="007016B1">
      <w:pPr>
        <w:ind w:left="720" w:hanging="720"/>
        <w:rPr>
          <w:i/>
        </w:rPr>
      </w:pPr>
      <w:r>
        <w:rPr>
          <w:i/>
        </w:rPr>
        <w:t xml:space="preserve">Deputy Commissioner of Taxation (NSW) v Brown </w:t>
      </w:r>
      <w:r>
        <w:rPr>
          <w:lang w:val="en-AU"/>
        </w:rPr>
        <w:t>(1958) 100 CLR 32</w:t>
      </w:r>
    </w:p>
    <w:p w14:paraId="107C0ED9" w14:textId="77777777" w:rsidR="007016B1" w:rsidRDefault="007016B1" w:rsidP="007016B1">
      <w:pPr>
        <w:ind w:left="720" w:hanging="720"/>
        <w:rPr>
          <w:i/>
          <w:lang w:val="en-AU"/>
        </w:rPr>
      </w:pPr>
      <w:r w:rsidRPr="00B1787B">
        <w:rPr>
          <w:i/>
        </w:rPr>
        <w:t>Deputy Commissioner of Taxation (NSW)</w:t>
      </w:r>
      <w:r>
        <w:rPr>
          <w:i/>
        </w:rPr>
        <w:t xml:space="preserve"> v </w:t>
      </w:r>
      <w:r w:rsidRPr="00B1787B">
        <w:rPr>
          <w:i/>
        </w:rPr>
        <w:t>W R Moran Pty Ltd</w:t>
      </w:r>
      <w:r>
        <w:rPr>
          <w:lang w:val="en-AU"/>
        </w:rPr>
        <w:t xml:space="preserve"> (1939) 61 CLR 735</w:t>
      </w:r>
    </w:p>
    <w:p w14:paraId="02525D99" w14:textId="77777777" w:rsidR="007016B1" w:rsidRDefault="007016B1" w:rsidP="007016B1">
      <w:pPr>
        <w:ind w:left="720" w:hanging="720"/>
        <w:rPr>
          <w:lang w:val="en-AU"/>
        </w:rPr>
      </w:pPr>
      <w:r w:rsidRPr="00272ED2">
        <w:rPr>
          <w:i/>
          <w:lang w:val="en-AU"/>
        </w:rPr>
        <w:t xml:space="preserve">Elliott v Commonwealth </w:t>
      </w:r>
      <w:r w:rsidRPr="00272ED2">
        <w:rPr>
          <w:lang w:val="en-AU"/>
        </w:rPr>
        <w:t>(1936) 54 CLR 657</w:t>
      </w:r>
    </w:p>
    <w:p w14:paraId="2CDD63FD" w14:textId="77777777" w:rsidR="007016B1" w:rsidRDefault="007016B1" w:rsidP="007016B1">
      <w:pPr>
        <w:ind w:left="720" w:hanging="720"/>
        <w:rPr>
          <w:lang w:val="en-AU"/>
        </w:rPr>
      </w:pPr>
      <w:r>
        <w:rPr>
          <w:i/>
        </w:rPr>
        <w:t xml:space="preserve">Fortescue Metals Group Ltd </w:t>
      </w:r>
      <w:proofErr w:type="gramStart"/>
      <w:r>
        <w:rPr>
          <w:i/>
        </w:rPr>
        <w:t>v</w:t>
      </w:r>
      <w:proofErr w:type="gramEnd"/>
      <w:r>
        <w:rPr>
          <w:i/>
        </w:rPr>
        <w:t xml:space="preserve"> Commonwealth </w:t>
      </w:r>
      <w:r>
        <w:t>(2013) 250 CLR 548</w:t>
      </w:r>
    </w:p>
    <w:p w14:paraId="4451BD99" w14:textId="77777777" w:rsidR="007016B1" w:rsidRDefault="007016B1" w:rsidP="007016B1">
      <w:pPr>
        <w:ind w:left="720" w:hanging="720"/>
        <w:rPr>
          <w:i/>
        </w:rPr>
      </w:pPr>
      <w:r>
        <w:rPr>
          <w:i/>
          <w:lang w:val="en-AU"/>
        </w:rPr>
        <w:t xml:space="preserve">Kruger v Commonwealth </w:t>
      </w:r>
      <w:r>
        <w:rPr>
          <w:lang w:val="en-AU"/>
        </w:rPr>
        <w:t>(1997) 190 CLR 1</w:t>
      </w:r>
    </w:p>
    <w:p w14:paraId="0EE37B84" w14:textId="77777777" w:rsidR="007016B1" w:rsidRDefault="007016B1" w:rsidP="007016B1">
      <w:pPr>
        <w:ind w:left="720" w:hanging="720"/>
        <w:rPr>
          <w:i/>
        </w:rPr>
      </w:pPr>
      <w:r>
        <w:rPr>
          <w:i/>
        </w:rPr>
        <w:lastRenderedPageBreak/>
        <w:t xml:space="preserve">Leeth v Commonwealth </w:t>
      </w:r>
      <w:r>
        <w:t>(1992) 174 CLR 455</w:t>
      </w:r>
    </w:p>
    <w:p w14:paraId="48061DC4" w14:textId="77777777" w:rsidR="007016B1" w:rsidRDefault="007016B1" w:rsidP="007016B1">
      <w:pPr>
        <w:ind w:left="720" w:hanging="720"/>
        <w:rPr>
          <w:i/>
          <w:lang w:val="en-AU"/>
        </w:rPr>
      </w:pPr>
      <w:r>
        <w:rPr>
          <w:i/>
          <w:lang w:val="en-AU"/>
        </w:rPr>
        <w:t xml:space="preserve">Marks &amp; Spencer plc v Halsey </w:t>
      </w:r>
      <w:r>
        <w:rPr>
          <w:lang w:val="en-AU"/>
        </w:rPr>
        <w:t>(C-446/03) [2005] ECR I-10866</w:t>
      </w:r>
    </w:p>
    <w:p w14:paraId="2DB0C57E" w14:textId="77777777" w:rsidR="007016B1" w:rsidRDefault="007016B1" w:rsidP="007016B1">
      <w:pPr>
        <w:ind w:left="720" w:hanging="720"/>
        <w:rPr>
          <w:i/>
        </w:rPr>
      </w:pPr>
      <w:r>
        <w:rPr>
          <w:i/>
          <w:lang w:val="en-AU"/>
        </w:rPr>
        <w:t xml:space="preserve">McCloy v New South Wales </w:t>
      </w:r>
      <w:r>
        <w:rPr>
          <w:lang w:val="en-AU"/>
        </w:rPr>
        <w:t>(2015) 89 ALJR 857</w:t>
      </w:r>
    </w:p>
    <w:p w14:paraId="71952BB7" w14:textId="77777777" w:rsidR="007016B1" w:rsidRDefault="007016B1" w:rsidP="007016B1">
      <w:pPr>
        <w:ind w:left="720" w:right="-52" w:hanging="720"/>
        <w:rPr>
          <w:i/>
        </w:rPr>
      </w:pPr>
      <w:r>
        <w:rPr>
          <w:i/>
        </w:rPr>
        <w:t xml:space="preserve">Permanent Trustee Australia Ltd </w:t>
      </w:r>
      <w:proofErr w:type="gramStart"/>
      <w:r>
        <w:rPr>
          <w:i/>
        </w:rPr>
        <w:t>v</w:t>
      </w:r>
      <w:proofErr w:type="gramEnd"/>
      <w:r>
        <w:rPr>
          <w:i/>
        </w:rPr>
        <w:t xml:space="preserve"> Commissioner of State Revenue (Vic)</w:t>
      </w:r>
      <w:r w:rsidRPr="005A2523">
        <w:rPr>
          <w:szCs w:val="20"/>
          <w:lang w:val="en-AU"/>
        </w:rPr>
        <w:t xml:space="preserve"> </w:t>
      </w:r>
      <w:r w:rsidRPr="004A1F12">
        <w:rPr>
          <w:szCs w:val="20"/>
          <w:lang w:val="en-AU"/>
        </w:rPr>
        <w:t>(2004) 220 CLR 388</w:t>
      </w:r>
    </w:p>
    <w:p w14:paraId="02BB0D7C" w14:textId="77777777" w:rsidR="007016B1" w:rsidRDefault="007016B1" w:rsidP="007016B1">
      <w:pPr>
        <w:ind w:left="720" w:hanging="720"/>
        <w:rPr>
          <w:i/>
          <w:lang w:val="en-AU"/>
        </w:rPr>
      </w:pPr>
      <w:r>
        <w:rPr>
          <w:i/>
        </w:rPr>
        <w:t xml:space="preserve">Pollock v Farmers’ Loan &amp; Trust Co </w:t>
      </w:r>
      <w:r>
        <w:rPr>
          <w:lang w:val="en-AU"/>
        </w:rPr>
        <w:t>157 US 429 (1895)</w:t>
      </w:r>
    </w:p>
    <w:p w14:paraId="5D010737" w14:textId="77777777" w:rsidR="007016B1" w:rsidRDefault="007016B1" w:rsidP="007016B1">
      <w:pPr>
        <w:ind w:left="720" w:hanging="720"/>
        <w:rPr>
          <w:i/>
          <w:lang w:val="en-AU"/>
        </w:rPr>
      </w:pPr>
      <w:r>
        <w:rPr>
          <w:i/>
          <w:lang w:val="en-AU"/>
        </w:rPr>
        <w:t xml:space="preserve">R v Barger </w:t>
      </w:r>
      <w:r>
        <w:rPr>
          <w:lang w:val="en-AU"/>
        </w:rPr>
        <w:t>(1908) 6 CLR 41</w:t>
      </w:r>
    </w:p>
    <w:p w14:paraId="0B7EB987" w14:textId="77777777" w:rsidR="007016B1" w:rsidRDefault="007016B1" w:rsidP="007016B1">
      <w:pPr>
        <w:ind w:left="720" w:hanging="720"/>
        <w:rPr>
          <w:i/>
        </w:rPr>
      </w:pPr>
      <w:r w:rsidRPr="00F37D3C">
        <w:rPr>
          <w:i/>
          <w:lang w:val="en-AU"/>
        </w:rPr>
        <w:t>South Australia v Commonwealth</w:t>
      </w:r>
      <w:r w:rsidRPr="0031751F">
        <w:rPr>
          <w:lang w:val="en-AU"/>
        </w:rPr>
        <w:t xml:space="preserve"> (1942) 65 CLR 373</w:t>
      </w:r>
    </w:p>
    <w:p w14:paraId="17A033C8" w14:textId="77777777" w:rsidR="007016B1" w:rsidRDefault="007016B1" w:rsidP="007016B1">
      <w:pPr>
        <w:ind w:left="720" w:hanging="720"/>
        <w:rPr>
          <w:i/>
          <w:lang w:val="en-AU"/>
        </w:rPr>
      </w:pPr>
      <w:r>
        <w:rPr>
          <w:i/>
        </w:rPr>
        <w:t>Street v Queensland Bar Association</w:t>
      </w:r>
      <w:r>
        <w:rPr>
          <w:i/>
          <w:lang w:val="en-AU"/>
        </w:rPr>
        <w:t xml:space="preserve"> </w:t>
      </w:r>
      <w:r>
        <w:rPr>
          <w:lang w:val="en-AU"/>
        </w:rPr>
        <w:t>(1989) 168 CLR 461</w:t>
      </w:r>
    </w:p>
    <w:p w14:paraId="77EF3AEC" w14:textId="77777777" w:rsidR="007016B1" w:rsidRDefault="007016B1" w:rsidP="007016B1">
      <w:pPr>
        <w:ind w:left="720" w:hanging="720"/>
        <w:rPr>
          <w:i/>
          <w:lang w:val="en-AU"/>
        </w:rPr>
      </w:pPr>
      <w:r>
        <w:rPr>
          <w:i/>
        </w:rPr>
        <w:t xml:space="preserve">United States v Ptasynski </w:t>
      </w:r>
      <w:r>
        <w:t>462 US 74 (1983)</w:t>
      </w:r>
    </w:p>
    <w:p w14:paraId="2FB46393" w14:textId="77777777" w:rsidR="007016B1" w:rsidRDefault="007016B1" w:rsidP="007016B1">
      <w:pPr>
        <w:ind w:left="720" w:hanging="720"/>
        <w:rPr>
          <w:lang w:val="en-AU"/>
        </w:rPr>
      </w:pPr>
      <w:r>
        <w:rPr>
          <w:i/>
          <w:lang w:val="en-AU"/>
        </w:rPr>
        <w:t xml:space="preserve">W R Moran Pty Ltd </w:t>
      </w:r>
      <w:proofErr w:type="gramStart"/>
      <w:r>
        <w:rPr>
          <w:i/>
          <w:lang w:val="en-AU"/>
        </w:rPr>
        <w:t>v</w:t>
      </w:r>
      <w:proofErr w:type="gramEnd"/>
      <w:r>
        <w:rPr>
          <w:i/>
          <w:lang w:val="en-AU"/>
        </w:rPr>
        <w:t xml:space="preserve"> Deputy Commissioner of Taxation (NSW) </w:t>
      </w:r>
      <w:r>
        <w:rPr>
          <w:lang w:val="en-AU"/>
        </w:rPr>
        <w:t>[1940] AC 838</w:t>
      </w:r>
    </w:p>
    <w:p w14:paraId="365CD159" w14:textId="77777777" w:rsidR="007016B1" w:rsidRDefault="007016B1" w:rsidP="007016B1">
      <w:pPr>
        <w:rPr>
          <w:lang w:val="en-AU"/>
        </w:rPr>
      </w:pPr>
    </w:p>
    <w:p w14:paraId="21D82018" w14:textId="77777777" w:rsidR="007016B1" w:rsidRDefault="007016B1" w:rsidP="007016B1">
      <w:pPr>
        <w:jc w:val="center"/>
        <w:rPr>
          <w:i/>
          <w:lang w:val="en-AU"/>
        </w:rPr>
      </w:pPr>
      <w:r>
        <w:rPr>
          <w:lang w:val="en-AU"/>
        </w:rPr>
        <w:t xml:space="preserve">E </w:t>
      </w:r>
      <w:r>
        <w:rPr>
          <w:i/>
          <w:lang w:val="en-AU"/>
        </w:rPr>
        <w:t>Constitutions and Legislation</w:t>
      </w:r>
    </w:p>
    <w:p w14:paraId="7B540D9C" w14:textId="77777777" w:rsidR="007016B1" w:rsidRDefault="007016B1" w:rsidP="007016B1">
      <w:pPr>
        <w:rPr>
          <w:lang w:val="en-AU"/>
        </w:rPr>
      </w:pPr>
    </w:p>
    <w:p w14:paraId="629B1228" w14:textId="77777777" w:rsidR="007016B1" w:rsidRDefault="007016B1" w:rsidP="007016B1">
      <w:pPr>
        <w:ind w:left="720" w:hanging="720"/>
        <w:rPr>
          <w:lang w:val="en-AU"/>
        </w:rPr>
      </w:pPr>
      <w:r w:rsidRPr="00BC7FE3">
        <w:rPr>
          <w:rFonts w:cs="Times New Roman"/>
          <w:i/>
          <w:szCs w:val="20"/>
        </w:rPr>
        <w:t>Commonwealth of Australia Constitution Act 1900</w:t>
      </w:r>
      <w:r>
        <w:rPr>
          <w:rFonts w:cs="Times New Roman"/>
          <w:szCs w:val="20"/>
        </w:rPr>
        <w:t xml:space="preserve"> (Imp) 63 &amp; 64 Vict, c 12</w:t>
      </w:r>
    </w:p>
    <w:p w14:paraId="7214655D" w14:textId="77777777" w:rsidR="007016B1" w:rsidRDefault="007016B1" w:rsidP="007016B1">
      <w:pPr>
        <w:ind w:left="720" w:hanging="720"/>
        <w:rPr>
          <w:i/>
        </w:rPr>
      </w:pPr>
      <w:r w:rsidRPr="003C39D1">
        <w:rPr>
          <w:i/>
        </w:rPr>
        <w:t>Constitution Act 1867</w:t>
      </w:r>
      <w:r>
        <w:t xml:space="preserve"> (Imp), 30 &amp; 31 Vict, c 3</w:t>
      </w:r>
    </w:p>
    <w:p w14:paraId="1381A303" w14:textId="77777777" w:rsidR="007016B1" w:rsidRPr="007C49C7" w:rsidRDefault="007016B1" w:rsidP="007016B1">
      <w:pPr>
        <w:ind w:left="720" w:hanging="720"/>
      </w:pPr>
      <w:r>
        <w:rPr>
          <w:i/>
        </w:rPr>
        <w:t xml:space="preserve">Excise Tariff 1906 </w:t>
      </w:r>
      <w:r>
        <w:t>(Cth)</w:t>
      </w:r>
    </w:p>
    <w:p w14:paraId="6F57783D" w14:textId="77777777" w:rsidR="007016B1" w:rsidRPr="009E0638" w:rsidRDefault="007016B1" w:rsidP="007016B1">
      <w:pPr>
        <w:ind w:left="720" w:hanging="720"/>
        <w:rPr>
          <w:lang w:val="en-AU"/>
        </w:rPr>
      </w:pPr>
      <w:r w:rsidRPr="006A0A9D">
        <w:rPr>
          <w:i/>
        </w:rPr>
        <w:t xml:space="preserve">Federal Constitution of the Swiss Federation of 18 April 1999 </w:t>
      </w:r>
      <w:r w:rsidRPr="006A0A9D">
        <w:rPr>
          <w:lang w:val="en-AU"/>
        </w:rPr>
        <w:t>[Federal Council (Switzerland) trans, Bundesverfassung der Schweizerischen Eidgenossenschaft</w:t>
      </w:r>
      <w:r>
        <w:rPr>
          <w:lang w:val="en-AU"/>
        </w:rPr>
        <w:t xml:space="preserve"> (1999) </w:t>
      </w:r>
      <w:r w:rsidRPr="006A0A9D">
        <w:rPr>
          <w:lang w:val="en-AU"/>
        </w:rPr>
        <w:t>&lt;https://www.admin.ch/opc/en/classified-compilation/19995395/</w:t>
      </w:r>
      <w:r>
        <w:rPr>
          <w:lang w:val="en-AU"/>
        </w:rPr>
        <w:br/>
      </w:r>
      <w:r w:rsidRPr="006A0A9D">
        <w:rPr>
          <w:lang w:val="en-AU"/>
        </w:rPr>
        <w:t>201506140000/101.pdf &gt;].</w:t>
      </w:r>
    </w:p>
    <w:p w14:paraId="09ACA750" w14:textId="77777777" w:rsidR="007016B1" w:rsidRDefault="007016B1" w:rsidP="007016B1">
      <w:pPr>
        <w:ind w:left="720" w:hanging="720"/>
        <w:rPr>
          <w:i/>
        </w:rPr>
      </w:pPr>
      <w:r>
        <w:rPr>
          <w:i/>
        </w:rPr>
        <w:t xml:space="preserve">Federal Law on Regional Policy </w:t>
      </w:r>
      <w:r>
        <w:t>(Switzerland) RS 901.0, 6 October 2006 [J Baughurst trans, Loi fédérale sur la politique régionale du 6 octobre 2006 RS 901.0]</w:t>
      </w:r>
    </w:p>
    <w:p w14:paraId="3F9B51F3" w14:textId="77777777" w:rsidR="007016B1" w:rsidRDefault="007016B1" w:rsidP="007016B1">
      <w:pPr>
        <w:ind w:left="720" w:hanging="720"/>
      </w:pPr>
      <w:r>
        <w:rPr>
          <w:i/>
        </w:rPr>
        <w:t xml:space="preserve">Income Tax and Social Services Contribution Assessment Act (No. 3) 1956 </w:t>
      </w:r>
      <w:r>
        <w:t>(Cth)</w:t>
      </w:r>
    </w:p>
    <w:p w14:paraId="44A39F5C" w14:textId="77777777" w:rsidR="007016B1" w:rsidRPr="009B1061" w:rsidRDefault="007016B1" w:rsidP="007016B1">
      <w:pPr>
        <w:ind w:left="720" w:hanging="720"/>
      </w:pPr>
      <w:r>
        <w:rPr>
          <w:i/>
        </w:rPr>
        <w:t xml:space="preserve">Income Tax Assessment Act 1936 </w:t>
      </w:r>
      <w:r>
        <w:t>(Cth)</w:t>
      </w:r>
    </w:p>
    <w:p w14:paraId="54255C38" w14:textId="77777777" w:rsidR="007016B1" w:rsidRDefault="007016B1" w:rsidP="007016B1">
      <w:pPr>
        <w:ind w:left="720" w:hanging="720"/>
      </w:pPr>
      <w:r>
        <w:rPr>
          <w:i/>
        </w:rPr>
        <w:t xml:space="preserve">Income Tax Assessment Act 1945 </w:t>
      </w:r>
      <w:r>
        <w:t>(Cth)</w:t>
      </w:r>
    </w:p>
    <w:p w14:paraId="384FBB58" w14:textId="77777777" w:rsidR="007016B1" w:rsidRDefault="007016B1" w:rsidP="007016B1">
      <w:pPr>
        <w:ind w:left="720" w:hanging="720"/>
      </w:pPr>
      <w:r>
        <w:rPr>
          <w:i/>
        </w:rPr>
        <w:t xml:space="preserve">Income Tax Assessment Act 1997 </w:t>
      </w:r>
      <w:r>
        <w:t>(Cth)</w:t>
      </w:r>
    </w:p>
    <w:p w14:paraId="65D2E121" w14:textId="77777777" w:rsidR="007016B1" w:rsidRDefault="007016B1" w:rsidP="007016B1">
      <w:pPr>
        <w:ind w:left="720" w:hanging="720"/>
      </w:pPr>
      <w:r>
        <w:rPr>
          <w:i/>
        </w:rPr>
        <w:t xml:space="preserve">Income Tax Assessment Amendment Act 1982 </w:t>
      </w:r>
      <w:r>
        <w:t>(Cth)</w:t>
      </w:r>
    </w:p>
    <w:p w14:paraId="661397BC" w14:textId="77777777" w:rsidR="007016B1" w:rsidRDefault="007016B1" w:rsidP="007016B1">
      <w:pPr>
        <w:ind w:left="720" w:hanging="720"/>
        <w:rPr>
          <w:lang w:val="en-AU"/>
        </w:rPr>
      </w:pPr>
      <w:r>
        <w:rPr>
          <w:i/>
          <w:lang w:val="en-AU"/>
        </w:rPr>
        <w:t xml:space="preserve">Judiciary Act 1903 </w:t>
      </w:r>
      <w:r>
        <w:rPr>
          <w:lang w:val="en-AU"/>
        </w:rPr>
        <w:t>(Cth)</w:t>
      </w:r>
    </w:p>
    <w:p w14:paraId="18B104F4" w14:textId="77777777" w:rsidR="007016B1" w:rsidRDefault="007016B1" w:rsidP="007016B1">
      <w:pPr>
        <w:ind w:left="720" w:hanging="720"/>
        <w:rPr>
          <w:lang w:val="en-AU"/>
        </w:rPr>
      </w:pPr>
      <w:r>
        <w:rPr>
          <w:i/>
          <w:lang w:val="en-AU"/>
        </w:rPr>
        <w:t xml:space="preserve">Tax and Superannuation Laws Amendment (2015 Measures No. 5) Act 2015 </w:t>
      </w:r>
      <w:r>
        <w:rPr>
          <w:lang w:val="en-AU"/>
        </w:rPr>
        <w:t>(Cth)</w:t>
      </w:r>
    </w:p>
    <w:p w14:paraId="5A17CF91" w14:textId="77777777" w:rsidR="007016B1" w:rsidRPr="00365B2A" w:rsidRDefault="007016B1" w:rsidP="007016B1">
      <w:pPr>
        <w:rPr>
          <w:lang w:val="en-AU"/>
        </w:rPr>
      </w:pPr>
    </w:p>
    <w:p w14:paraId="5E82E017" w14:textId="77777777" w:rsidR="007016B1" w:rsidRPr="00365B2A" w:rsidRDefault="007016B1" w:rsidP="007016B1">
      <w:pPr>
        <w:jc w:val="center"/>
        <w:rPr>
          <w:i/>
          <w:lang w:val="en-AU"/>
        </w:rPr>
      </w:pPr>
      <w:r>
        <w:rPr>
          <w:lang w:val="en-AU"/>
        </w:rPr>
        <w:t xml:space="preserve">F </w:t>
      </w:r>
      <w:r>
        <w:rPr>
          <w:i/>
          <w:lang w:val="en-AU"/>
        </w:rPr>
        <w:t>Treaties</w:t>
      </w:r>
    </w:p>
    <w:p w14:paraId="5DDBBA34" w14:textId="77777777" w:rsidR="007016B1" w:rsidRDefault="007016B1" w:rsidP="007016B1">
      <w:pPr>
        <w:rPr>
          <w:lang w:val="en-AU"/>
        </w:rPr>
      </w:pPr>
    </w:p>
    <w:p w14:paraId="518353A7" w14:textId="77777777" w:rsidR="007016B1" w:rsidRDefault="007016B1" w:rsidP="007016B1">
      <w:pPr>
        <w:ind w:left="720" w:hanging="720"/>
        <w:rPr>
          <w:lang w:val="en-AU"/>
        </w:rPr>
      </w:pPr>
      <w:r w:rsidRPr="000B55DE">
        <w:rPr>
          <w:i/>
        </w:rPr>
        <w:t>Treaty on the Functioning of the European Union</w:t>
      </w:r>
      <w:r w:rsidRPr="000B55DE">
        <w:t xml:space="preserve">, opened for signature </w:t>
      </w:r>
      <w:r>
        <w:t>25 March 1957</w:t>
      </w:r>
      <w:r w:rsidRPr="000B55DE">
        <w:t>, [</w:t>
      </w:r>
      <w:r>
        <w:t>2012] OJ C 326/47</w:t>
      </w:r>
      <w:r w:rsidRPr="000B55DE">
        <w:t xml:space="preserve"> (entered into force 1 </w:t>
      </w:r>
      <w:r>
        <w:t>January 1958</w:t>
      </w:r>
      <w:r w:rsidRPr="000B55DE">
        <w:t>)</w:t>
      </w:r>
    </w:p>
    <w:p w14:paraId="362D03B0" w14:textId="77777777" w:rsidR="007016B1" w:rsidRDefault="007016B1" w:rsidP="007016B1">
      <w:pPr>
        <w:rPr>
          <w:lang w:val="en-AU"/>
        </w:rPr>
      </w:pPr>
    </w:p>
    <w:p w14:paraId="77F33E7E" w14:textId="77777777" w:rsidR="007016B1" w:rsidRPr="006E797E" w:rsidRDefault="007016B1" w:rsidP="007016B1">
      <w:pPr>
        <w:jc w:val="center"/>
        <w:rPr>
          <w:i/>
          <w:lang w:val="en-AU"/>
        </w:rPr>
      </w:pPr>
      <w:r>
        <w:rPr>
          <w:lang w:val="en-AU"/>
        </w:rPr>
        <w:t xml:space="preserve">G </w:t>
      </w:r>
      <w:r>
        <w:rPr>
          <w:i/>
          <w:lang w:val="en-AU"/>
        </w:rPr>
        <w:t>Constitutional Convention and Parliamentary Debates</w:t>
      </w:r>
    </w:p>
    <w:p w14:paraId="49B15385" w14:textId="77777777" w:rsidR="007016B1" w:rsidRDefault="007016B1" w:rsidP="007016B1">
      <w:pPr>
        <w:rPr>
          <w:lang w:val="en-AU"/>
        </w:rPr>
      </w:pPr>
    </w:p>
    <w:p w14:paraId="32DDF6F3" w14:textId="77777777" w:rsidR="007016B1" w:rsidRDefault="007016B1" w:rsidP="007016B1">
      <w:pPr>
        <w:ind w:left="720" w:hanging="720"/>
        <w:rPr>
          <w:lang w:val="en-AU"/>
        </w:rPr>
      </w:pPr>
      <w:r>
        <w:rPr>
          <w:lang w:val="en-AU"/>
        </w:rPr>
        <w:t xml:space="preserve">Commonwealth, </w:t>
      </w:r>
      <w:r>
        <w:rPr>
          <w:i/>
          <w:lang w:val="en-AU"/>
        </w:rPr>
        <w:t xml:space="preserve">Parliamentary Debates, </w:t>
      </w:r>
      <w:r>
        <w:rPr>
          <w:lang w:val="en-AU"/>
        </w:rPr>
        <w:t>House of Representatives, 19 April 1945</w:t>
      </w:r>
    </w:p>
    <w:p w14:paraId="085795C2" w14:textId="77777777" w:rsidR="007016B1" w:rsidRDefault="007016B1" w:rsidP="007016B1">
      <w:pPr>
        <w:ind w:left="720" w:hanging="720"/>
        <w:rPr>
          <w:lang w:val="en-AU"/>
        </w:rPr>
      </w:pPr>
      <w:r>
        <w:rPr>
          <w:lang w:val="en-AU"/>
        </w:rPr>
        <w:t xml:space="preserve">Commonwealth, </w:t>
      </w:r>
      <w:r>
        <w:rPr>
          <w:i/>
          <w:lang w:val="en-AU"/>
        </w:rPr>
        <w:t xml:space="preserve">Parliamentary Debates, </w:t>
      </w:r>
      <w:r>
        <w:rPr>
          <w:lang w:val="en-AU"/>
        </w:rPr>
        <w:t>House of Representatives, 24 March 1982</w:t>
      </w:r>
    </w:p>
    <w:p w14:paraId="2318DFE9" w14:textId="77777777" w:rsidR="007016B1" w:rsidRDefault="007016B1" w:rsidP="007016B1">
      <w:pPr>
        <w:ind w:left="720" w:hanging="720"/>
        <w:rPr>
          <w:i/>
          <w:lang w:val="en-AU"/>
        </w:rPr>
      </w:pPr>
      <w:r>
        <w:rPr>
          <w:lang w:val="en-AU"/>
        </w:rPr>
        <w:t xml:space="preserve">Commonwealth, </w:t>
      </w:r>
      <w:r>
        <w:rPr>
          <w:i/>
          <w:lang w:val="en-AU"/>
        </w:rPr>
        <w:t>Parliamentary Debates</w:t>
      </w:r>
      <w:r>
        <w:rPr>
          <w:lang w:val="en-AU"/>
        </w:rPr>
        <w:t>, House of Representatives, 15 October 2015</w:t>
      </w:r>
    </w:p>
    <w:p w14:paraId="0C52BC79" w14:textId="77777777" w:rsidR="007016B1" w:rsidRDefault="007016B1" w:rsidP="007016B1">
      <w:pPr>
        <w:ind w:left="720" w:hanging="720"/>
        <w:rPr>
          <w:lang w:val="en-AU"/>
        </w:rPr>
      </w:pPr>
      <w:r>
        <w:rPr>
          <w:i/>
          <w:lang w:val="en-AU"/>
        </w:rPr>
        <w:t>Official Report of the National Australasian Convention Debates</w:t>
      </w:r>
      <w:r>
        <w:rPr>
          <w:lang w:val="en-AU"/>
        </w:rPr>
        <w:t>, Sydney, 3 April 1891</w:t>
      </w:r>
    </w:p>
    <w:p w14:paraId="5D1524BA" w14:textId="77777777" w:rsidR="007016B1" w:rsidRDefault="007016B1" w:rsidP="007016B1">
      <w:pPr>
        <w:ind w:left="720" w:hanging="720"/>
        <w:rPr>
          <w:lang w:val="en-AU"/>
        </w:rPr>
      </w:pPr>
      <w:r>
        <w:rPr>
          <w:i/>
          <w:lang w:val="en-AU"/>
        </w:rPr>
        <w:t>Official Report of the National Australasian Convention Debates</w:t>
      </w:r>
      <w:r>
        <w:rPr>
          <w:lang w:val="en-AU"/>
        </w:rPr>
        <w:t>, Adelaide, 17 April 1897</w:t>
      </w:r>
    </w:p>
    <w:p w14:paraId="0F2EEB4F" w14:textId="77777777" w:rsidR="007016B1" w:rsidRDefault="007016B1" w:rsidP="007016B1">
      <w:pPr>
        <w:ind w:left="720" w:hanging="720"/>
        <w:rPr>
          <w:lang w:val="en-AU"/>
        </w:rPr>
      </w:pPr>
      <w:r>
        <w:rPr>
          <w:i/>
          <w:lang w:val="en-AU"/>
        </w:rPr>
        <w:t>Official Record of the Debates of the Australasian Federal Convention</w:t>
      </w:r>
      <w:r>
        <w:rPr>
          <w:lang w:val="en-AU"/>
        </w:rPr>
        <w:t>, Sydney, 22 September 1897</w:t>
      </w:r>
    </w:p>
    <w:p w14:paraId="1605F338" w14:textId="77777777" w:rsidR="007016B1" w:rsidRDefault="007016B1" w:rsidP="007016B1">
      <w:pPr>
        <w:ind w:left="720" w:hanging="720"/>
      </w:pPr>
      <w:r>
        <w:rPr>
          <w:i/>
        </w:rPr>
        <w:t xml:space="preserve">Official Record of the Debates of the Australasian Federal </w:t>
      </w:r>
      <w:r w:rsidRPr="006164CD">
        <w:rPr>
          <w:i/>
        </w:rPr>
        <w:t>Convention</w:t>
      </w:r>
      <w:r>
        <w:t>, Melbourne, 11 March 1898</w:t>
      </w:r>
    </w:p>
    <w:p w14:paraId="7D5063B0" w14:textId="77777777" w:rsidR="007016B1" w:rsidRDefault="007016B1" w:rsidP="007016B1">
      <w:pPr>
        <w:rPr>
          <w:lang w:val="en-AU"/>
        </w:rPr>
      </w:pPr>
    </w:p>
    <w:p w14:paraId="100D478F" w14:textId="77777777" w:rsidR="007016B1" w:rsidRPr="00676EB3" w:rsidRDefault="007016B1" w:rsidP="007016B1">
      <w:pPr>
        <w:jc w:val="center"/>
        <w:rPr>
          <w:i/>
          <w:lang w:val="en-AU"/>
        </w:rPr>
      </w:pPr>
      <w:r>
        <w:rPr>
          <w:lang w:val="en-AU"/>
        </w:rPr>
        <w:t xml:space="preserve">H </w:t>
      </w:r>
      <w:r>
        <w:rPr>
          <w:i/>
          <w:lang w:val="en-AU"/>
        </w:rPr>
        <w:t>Explanatory Memoranda</w:t>
      </w:r>
    </w:p>
    <w:p w14:paraId="687EECB9" w14:textId="77777777" w:rsidR="007016B1" w:rsidRDefault="007016B1" w:rsidP="007016B1">
      <w:pPr>
        <w:rPr>
          <w:lang w:val="en-AU"/>
        </w:rPr>
      </w:pPr>
    </w:p>
    <w:p w14:paraId="684C62C0" w14:textId="77777777" w:rsidR="007016B1" w:rsidRDefault="007016B1" w:rsidP="007016B1">
      <w:pPr>
        <w:ind w:left="720" w:hanging="720"/>
        <w:rPr>
          <w:lang w:val="en-AU"/>
        </w:rPr>
      </w:pPr>
      <w:r>
        <w:rPr>
          <w:lang w:val="en-AU"/>
        </w:rPr>
        <w:t>Explanatory Memorandum, Income Tax Assessment Amendment Bill 1982 (Cth)</w:t>
      </w:r>
    </w:p>
    <w:p w14:paraId="55754F04" w14:textId="77777777" w:rsidR="007016B1" w:rsidRDefault="007016B1" w:rsidP="007016B1">
      <w:pPr>
        <w:ind w:left="720" w:hanging="720"/>
        <w:rPr>
          <w:lang w:val="en-AU"/>
        </w:rPr>
      </w:pPr>
      <w:r>
        <w:rPr>
          <w:lang w:val="en-AU"/>
        </w:rPr>
        <w:lastRenderedPageBreak/>
        <w:t>Explanatory Memorandum, Income Tax Assessment Bill 1945 (Cth)</w:t>
      </w:r>
    </w:p>
    <w:p w14:paraId="1065428B" w14:textId="77777777" w:rsidR="007016B1" w:rsidRDefault="007016B1" w:rsidP="007016B1">
      <w:pPr>
        <w:ind w:left="720" w:hanging="720"/>
        <w:rPr>
          <w:lang w:val="en-AU"/>
        </w:rPr>
      </w:pPr>
      <w:r>
        <w:t xml:space="preserve">Explanatory Memorandum, </w:t>
      </w:r>
      <w:r w:rsidRPr="009A6786">
        <w:t>Tax and Superannuation L</w:t>
      </w:r>
      <w:r>
        <w:t>aws Amendment (2015 Measures No </w:t>
      </w:r>
      <w:r w:rsidRPr="009A6786">
        <w:t>5) Bill 2015</w:t>
      </w:r>
      <w:r>
        <w:t xml:space="preserve"> (Cth)</w:t>
      </w:r>
    </w:p>
    <w:p w14:paraId="17B68C2A" w14:textId="77777777" w:rsidR="007016B1" w:rsidRDefault="007016B1" w:rsidP="007016B1">
      <w:pPr>
        <w:rPr>
          <w:lang w:val="en-AU"/>
        </w:rPr>
      </w:pPr>
    </w:p>
    <w:p w14:paraId="512BED8A" w14:textId="77777777" w:rsidR="007016B1" w:rsidRDefault="007016B1" w:rsidP="007016B1">
      <w:pPr>
        <w:jc w:val="center"/>
        <w:rPr>
          <w:lang w:val="en-AU"/>
        </w:rPr>
      </w:pPr>
      <w:r>
        <w:rPr>
          <w:lang w:val="en-AU"/>
        </w:rPr>
        <w:t xml:space="preserve">I </w:t>
      </w:r>
      <w:r>
        <w:rPr>
          <w:i/>
          <w:lang w:val="en-AU"/>
        </w:rPr>
        <w:t>Other</w:t>
      </w:r>
    </w:p>
    <w:p w14:paraId="1D44AF83" w14:textId="77777777" w:rsidR="007016B1" w:rsidRDefault="007016B1" w:rsidP="007016B1">
      <w:pPr>
        <w:rPr>
          <w:lang w:val="en-AU"/>
        </w:rPr>
      </w:pPr>
    </w:p>
    <w:p w14:paraId="6F0DE909" w14:textId="77777777" w:rsidR="007016B1" w:rsidRDefault="007016B1" w:rsidP="007016B1">
      <w:pPr>
        <w:ind w:left="720" w:hanging="720"/>
        <w:rPr>
          <w:lang w:val="en-AU"/>
        </w:rPr>
      </w:pPr>
      <w:r>
        <w:rPr>
          <w:lang w:val="en-AU"/>
        </w:rPr>
        <w:t xml:space="preserve">Australian Taxation Office, </w:t>
      </w:r>
      <w:r>
        <w:rPr>
          <w:i/>
          <w:lang w:val="en-AU"/>
        </w:rPr>
        <w:t xml:space="preserve">The Australian Zone List, </w:t>
      </w:r>
      <w:r>
        <w:rPr>
          <w:lang w:val="en-AU"/>
        </w:rPr>
        <w:t>PSLA 2002/6, 4 February 2002</w:t>
      </w:r>
    </w:p>
    <w:p w14:paraId="03B2042C" w14:textId="77777777" w:rsidR="007016B1" w:rsidRDefault="007016B1" w:rsidP="007016B1">
      <w:pPr>
        <w:ind w:left="720" w:hanging="720"/>
        <w:rPr>
          <w:lang w:val="en-AU"/>
        </w:rPr>
      </w:pPr>
      <w:r>
        <w:rPr>
          <w:lang w:val="en-AU"/>
        </w:rPr>
        <w:t xml:space="preserve">Australian Taxation Office, </w:t>
      </w:r>
      <w:r w:rsidRPr="00E45568">
        <w:rPr>
          <w:i/>
          <w:lang w:val="en-AU"/>
        </w:rPr>
        <w:t>Income Tax: Zone Rebate for Residents of Isolated Areas</w:t>
      </w:r>
      <w:r>
        <w:rPr>
          <w:lang w:val="en-AU"/>
        </w:rPr>
        <w:t>, TR 94/27, 25 August 1994</w:t>
      </w:r>
    </w:p>
    <w:p w14:paraId="5F56AFE0" w14:textId="77777777" w:rsidR="007016B1" w:rsidRDefault="007016B1" w:rsidP="007016B1">
      <w:pPr>
        <w:ind w:left="720" w:hanging="720"/>
        <w:rPr>
          <w:lang w:val="en-AU"/>
        </w:rPr>
      </w:pPr>
      <w:r>
        <w:rPr>
          <w:lang w:val="en-AU"/>
        </w:rPr>
        <w:t xml:space="preserve">Australian Taxation Office, </w:t>
      </w:r>
      <w:r w:rsidRPr="00944A00">
        <w:rPr>
          <w:i/>
          <w:lang w:val="en-AU"/>
        </w:rPr>
        <w:t>Manual for the National Tax Equivalent Regime</w:t>
      </w:r>
      <w:r>
        <w:rPr>
          <w:lang w:val="en-AU"/>
        </w:rPr>
        <w:t xml:space="preserve"> (9</w:t>
      </w:r>
      <w:r w:rsidRPr="004A2ED5">
        <w:rPr>
          <w:vertAlign w:val="superscript"/>
          <w:lang w:val="en-AU"/>
        </w:rPr>
        <w:t>th</w:t>
      </w:r>
      <w:r>
        <w:rPr>
          <w:lang w:val="en-AU"/>
        </w:rPr>
        <w:t xml:space="preserve"> ed, April 2014)</w:t>
      </w:r>
    </w:p>
    <w:p w14:paraId="1BA5FE71" w14:textId="77777777" w:rsidR="007016B1" w:rsidRPr="009E6913" w:rsidRDefault="007016B1" w:rsidP="007016B1">
      <w:pPr>
        <w:ind w:left="720" w:hanging="720"/>
      </w:pPr>
      <w:r>
        <w:t xml:space="preserve">Australian Taxation Office, </w:t>
      </w:r>
      <w:r w:rsidRPr="004446E4">
        <w:rPr>
          <w:i/>
        </w:rPr>
        <w:t>Taxation statistics 2012–13, Table 1: Individuals: Selected items, for income years 1978–79 to 2012–13</w:t>
      </w:r>
      <w:r>
        <w:t xml:space="preserve"> (4 May 2015) &lt;</w:t>
      </w:r>
      <w:r w:rsidRPr="004446E4">
        <w:t>https://www.ato.gov.au/About-ATO/Research-and-statistics/In-detail/Tax-statistics/Taxation-statistics-2012-13/?page=22</w:t>
      </w:r>
      <w:r>
        <w:t>&gt;</w:t>
      </w:r>
    </w:p>
    <w:p w14:paraId="4A1EF544" w14:textId="77777777" w:rsidR="007016B1" w:rsidRDefault="007016B1" w:rsidP="007016B1">
      <w:pPr>
        <w:ind w:left="720" w:hanging="720"/>
      </w:pPr>
      <w:r>
        <w:t xml:space="preserve">European Commission, </w:t>
      </w:r>
      <w:r>
        <w:rPr>
          <w:i/>
          <w:lang w:val="en-AU"/>
        </w:rPr>
        <w:t xml:space="preserve">Guidelines on Regional State Aid for 2014-2020 </w:t>
      </w:r>
      <w:r>
        <w:rPr>
          <w:lang w:val="en-AU"/>
        </w:rPr>
        <w:t>[2013] OJ C 209/01</w:t>
      </w:r>
    </w:p>
    <w:p w14:paraId="20B3FEBB" w14:textId="77777777" w:rsidR="007016B1" w:rsidRDefault="007016B1" w:rsidP="007016B1">
      <w:pPr>
        <w:ind w:left="720" w:hanging="720"/>
      </w:pPr>
      <w:r>
        <w:t xml:space="preserve">European Commission, </w:t>
      </w:r>
      <w:r>
        <w:rPr>
          <w:i/>
        </w:rPr>
        <w:t xml:space="preserve">The European Union Explained: Taxation </w:t>
      </w:r>
      <w:r>
        <w:t>(2015)</w:t>
      </w:r>
    </w:p>
    <w:p w14:paraId="34401B49" w14:textId="77777777" w:rsidR="007016B1" w:rsidRPr="00365B2A" w:rsidRDefault="007016B1" w:rsidP="007016B1">
      <w:pPr>
        <w:ind w:left="720" w:hanging="720"/>
        <w:rPr>
          <w:lang w:val="en-AU"/>
        </w:rPr>
      </w:pPr>
      <w:r w:rsidRPr="009E6913">
        <w:t xml:space="preserve">Federal Department of Finance (Switzerland), </w:t>
      </w:r>
      <w:r w:rsidRPr="009E6913">
        <w:rPr>
          <w:i/>
        </w:rPr>
        <w:t xml:space="preserve">Federal, Cantonal and Communal Taxes </w:t>
      </w:r>
      <w:r>
        <w:t xml:space="preserve">(2016) </w:t>
      </w:r>
      <w:r w:rsidRPr="009E6913">
        <w:rPr>
          <w:lang w:val="en-AU"/>
        </w:rPr>
        <w:t>&lt;https://www.estv.admin.ch/estv/en/home/allgemein/dokumentation/</w:t>
      </w:r>
      <w:r>
        <w:rPr>
          <w:lang w:val="en-AU"/>
        </w:rPr>
        <w:br/>
      </w:r>
      <w:r w:rsidRPr="009E6913">
        <w:rPr>
          <w:lang w:val="en-AU"/>
        </w:rPr>
        <w:t>publikationen/weitere-publikationen/kurz</w:t>
      </w:r>
      <w:r>
        <w:rPr>
          <w:lang w:val="en-AU"/>
        </w:rPr>
        <w:t>abriss-ueber-das-schweizerische-</w:t>
      </w:r>
      <w:r w:rsidRPr="009E6913">
        <w:rPr>
          <w:lang w:val="en-AU"/>
        </w:rPr>
        <w:t>steuersystem.html &gt;</w:t>
      </w:r>
    </w:p>
    <w:p w14:paraId="47C19B73" w14:textId="77777777" w:rsidR="007016B1" w:rsidRPr="007016B1" w:rsidRDefault="007016B1" w:rsidP="007016B1"/>
    <w:sectPr w:rsidR="007016B1" w:rsidRPr="007016B1" w:rsidSect="008E4B6C">
      <w:footerReference w:type="even" r:id="rId10"/>
      <w:footerReference w:type="default" r:id="rId11"/>
      <w:pgSz w:w="11900" w:h="16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48781" w14:textId="77777777" w:rsidR="008B76DC" w:rsidRDefault="008B76DC" w:rsidP="00F1165B">
      <w:r>
        <w:separator/>
      </w:r>
    </w:p>
  </w:endnote>
  <w:endnote w:type="continuationSeparator" w:id="0">
    <w:p w14:paraId="1A4FCCA0" w14:textId="77777777" w:rsidR="008B76DC" w:rsidRDefault="008B76DC" w:rsidP="00F1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90BC" w14:textId="77777777" w:rsidR="00D86988" w:rsidRDefault="00D86988" w:rsidP="008E4B6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89D913" w14:textId="77777777" w:rsidR="00D86988" w:rsidRDefault="00D86988" w:rsidP="00160DE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B55DE" w14:textId="77777777" w:rsidR="00D86988" w:rsidRDefault="00D86988" w:rsidP="006C76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4EFB">
      <w:rPr>
        <w:rStyle w:val="PageNumber"/>
        <w:noProof/>
      </w:rPr>
      <w:t>32</w:t>
    </w:r>
    <w:r>
      <w:rPr>
        <w:rStyle w:val="PageNumber"/>
      </w:rPr>
      <w:fldChar w:fldCharType="end"/>
    </w:r>
  </w:p>
  <w:p w14:paraId="481B09EF" w14:textId="20A1DDC7" w:rsidR="00D86988" w:rsidRDefault="00D86988" w:rsidP="00160DE7">
    <w:pPr>
      <w:pStyle w:val="Footer"/>
      <w:ind w:right="360"/>
    </w:pPr>
    <w:r w:rsidRPr="00B0663B">
      <w:rPr>
        <w:rFonts w:cs="Times New Roman"/>
      </w:rPr>
      <w:t>303177858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FEA64" w14:textId="77777777" w:rsidR="008B76DC" w:rsidRDefault="008B76DC" w:rsidP="00F1165B">
      <w:r>
        <w:separator/>
      </w:r>
    </w:p>
  </w:footnote>
  <w:footnote w:type="continuationSeparator" w:id="0">
    <w:p w14:paraId="08336744" w14:textId="77777777" w:rsidR="008B76DC" w:rsidRDefault="008B76DC" w:rsidP="00F1165B">
      <w:r>
        <w:continuationSeparator/>
      </w:r>
    </w:p>
  </w:footnote>
  <w:footnote w:id="1">
    <w:p w14:paraId="06E561E9" w14:textId="5D79E40C" w:rsidR="00D86988" w:rsidRPr="00954E35" w:rsidRDefault="00D86988">
      <w:pPr>
        <w:pStyle w:val="FootnoteText"/>
        <w:rPr>
          <w:lang w:val="en-AU"/>
        </w:rPr>
      </w:pPr>
      <w:r>
        <w:rPr>
          <w:rStyle w:val="FootnoteReference"/>
        </w:rPr>
        <w:footnoteRef/>
      </w:r>
      <w:r>
        <w:t xml:space="preserve"> </w:t>
      </w:r>
      <w:r w:rsidRPr="00BC7FE3">
        <w:rPr>
          <w:rFonts w:cs="Times New Roman"/>
          <w:i/>
          <w:szCs w:val="20"/>
        </w:rPr>
        <w:t>Commonwealth of Australia Constitution Act 1900</w:t>
      </w:r>
      <w:r>
        <w:rPr>
          <w:rFonts w:cs="Times New Roman"/>
          <w:szCs w:val="20"/>
        </w:rPr>
        <w:t xml:space="preserve"> (Imp) 63 &amp; 64 Vict, c 12, s</w:t>
      </w:r>
      <w:r w:rsidRPr="00BC7FE3">
        <w:rPr>
          <w:rFonts w:cs="Times New Roman"/>
          <w:szCs w:val="20"/>
        </w:rPr>
        <w:t xml:space="preserve"> 9, </w:t>
      </w:r>
      <w:r w:rsidRPr="00BC7FE3">
        <w:rPr>
          <w:rFonts w:cs="Times New Roman"/>
          <w:i/>
          <w:szCs w:val="20"/>
        </w:rPr>
        <w:t>Constitution</w:t>
      </w:r>
      <w:r w:rsidRPr="00BC7FE3">
        <w:rPr>
          <w:rFonts w:cs="Times New Roman"/>
          <w:szCs w:val="20"/>
        </w:rPr>
        <w:t>, s 51(ii) (‘</w:t>
      </w:r>
      <w:r w:rsidRPr="00BC7FE3">
        <w:rPr>
          <w:rFonts w:cs="Times New Roman"/>
          <w:i/>
          <w:szCs w:val="20"/>
        </w:rPr>
        <w:t>Constitution</w:t>
      </w:r>
      <w:r w:rsidRPr="00BC7FE3">
        <w:rPr>
          <w:rFonts w:cs="Times New Roman"/>
          <w:szCs w:val="20"/>
        </w:rPr>
        <w:t>’).</w:t>
      </w:r>
    </w:p>
  </w:footnote>
  <w:footnote w:id="2">
    <w:p w14:paraId="79761952" w14:textId="0FCC68D8" w:rsidR="00D86988" w:rsidRPr="003D689F" w:rsidRDefault="00D86988">
      <w:pPr>
        <w:pStyle w:val="FootnoteText"/>
        <w:rPr>
          <w:i/>
          <w:lang w:val="en-AU"/>
        </w:rPr>
      </w:pPr>
      <w:r>
        <w:rPr>
          <w:rStyle w:val="FootnoteReference"/>
        </w:rPr>
        <w:footnoteRef/>
      </w:r>
      <w:r>
        <w:t xml:space="preserve"> </w:t>
      </w:r>
      <w:r>
        <w:rPr>
          <w:i/>
        </w:rPr>
        <w:t xml:space="preserve">Income Tax Assessment Act 1945 </w:t>
      </w:r>
      <w:r>
        <w:t>(Cth) ss 11, 19.</w:t>
      </w:r>
    </w:p>
  </w:footnote>
  <w:footnote w:id="3">
    <w:p w14:paraId="5BD5F028" w14:textId="5B5D6F3E" w:rsidR="00D86988" w:rsidRPr="00800695" w:rsidRDefault="00D86988">
      <w:pPr>
        <w:pStyle w:val="FootnoteText"/>
        <w:rPr>
          <w:lang w:val="en-AU"/>
        </w:rPr>
      </w:pPr>
      <w:r>
        <w:rPr>
          <w:rStyle w:val="FootnoteReference"/>
        </w:rPr>
        <w:footnoteRef/>
      </w:r>
      <w:r>
        <w:t xml:space="preserve"> </w:t>
      </w:r>
      <w:r>
        <w:rPr>
          <w:i/>
        </w:rPr>
        <w:t xml:space="preserve">Fortescue Metals Group Ltd </w:t>
      </w:r>
      <w:proofErr w:type="gramStart"/>
      <w:r>
        <w:rPr>
          <w:i/>
        </w:rPr>
        <w:t>v</w:t>
      </w:r>
      <w:proofErr w:type="gramEnd"/>
      <w:r>
        <w:rPr>
          <w:i/>
        </w:rPr>
        <w:t xml:space="preserve"> Commonwealth </w:t>
      </w:r>
      <w:r>
        <w:t>(2013) 250 CLR 548, 594 (‘</w:t>
      </w:r>
      <w:r>
        <w:rPr>
          <w:i/>
        </w:rPr>
        <w:t>Fortescue</w:t>
      </w:r>
      <w:r>
        <w:t>’).</w:t>
      </w:r>
    </w:p>
  </w:footnote>
  <w:footnote w:id="4">
    <w:p w14:paraId="6121853B" w14:textId="0079E8F7" w:rsidR="00D86988" w:rsidRPr="00D77433" w:rsidRDefault="00D86988">
      <w:pPr>
        <w:pStyle w:val="FootnoteText"/>
        <w:rPr>
          <w:lang w:val="en-AU"/>
        </w:rPr>
      </w:pPr>
      <w:r>
        <w:rPr>
          <w:rStyle w:val="FootnoteReference"/>
        </w:rPr>
        <w:footnoteRef/>
      </w:r>
      <w:r>
        <w:t xml:space="preserve"> </w:t>
      </w:r>
      <w:r>
        <w:rPr>
          <w:lang w:val="en-AU"/>
        </w:rPr>
        <w:t>Ibid.</w:t>
      </w:r>
    </w:p>
  </w:footnote>
  <w:footnote w:id="5">
    <w:p w14:paraId="452E5451" w14:textId="77777777" w:rsidR="00D86988" w:rsidRPr="00BC7FE3" w:rsidRDefault="00D86988" w:rsidP="000F4697">
      <w:pPr>
        <w:pStyle w:val="FootnoteText"/>
        <w:rPr>
          <w:rFonts w:cs="Times New Roman"/>
          <w:szCs w:val="20"/>
          <w:lang w:val="en-AU"/>
        </w:rPr>
      </w:pPr>
      <w:r w:rsidRPr="00BC7FE3">
        <w:rPr>
          <w:rStyle w:val="FootnoteReference"/>
          <w:rFonts w:cs="Times New Roman"/>
          <w:szCs w:val="20"/>
        </w:rPr>
        <w:footnoteRef/>
      </w:r>
      <w:r w:rsidRPr="00BC7FE3">
        <w:rPr>
          <w:rFonts w:cs="Times New Roman"/>
          <w:szCs w:val="20"/>
        </w:rPr>
        <w:t xml:space="preserve"> </w:t>
      </w:r>
      <w:r>
        <w:rPr>
          <w:rFonts w:cs="Times New Roman"/>
          <w:szCs w:val="20"/>
        </w:rPr>
        <w:t xml:space="preserve">Amelia Simpson, ‘Fortescue Metals Group Ltd </w:t>
      </w:r>
      <w:proofErr w:type="gramStart"/>
      <w:r>
        <w:rPr>
          <w:rFonts w:cs="Times New Roman"/>
          <w:szCs w:val="20"/>
        </w:rPr>
        <w:t>v</w:t>
      </w:r>
      <w:proofErr w:type="gramEnd"/>
      <w:r>
        <w:rPr>
          <w:rFonts w:cs="Times New Roman"/>
          <w:szCs w:val="20"/>
        </w:rPr>
        <w:t xml:space="preserve"> Commonwealth: Discrimination and Fiscal Federalism’ (2014) 25 </w:t>
      </w:r>
      <w:r>
        <w:rPr>
          <w:rFonts w:cs="Times New Roman"/>
          <w:i/>
          <w:szCs w:val="20"/>
        </w:rPr>
        <w:t xml:space="preserve">Public Law Review </w:t>
      </w:r>
      <w:r>
        <w:rPr>
          <w:rFonts w:cs="Times New Roman"/>
          <w:szCs w:val="20"/>
        </w:rPr>
        <w:t>93, 94.</w:t>
      </w:r>
    </w:p>
  </w:footnote>
  <w:footnote w:id="6">
    <w:p w14:paraId="281C967D" w14:textId="785A8ABF" w:rsidR="00D86988" w:rsidRPr="009209FA" w:rsidRDefault="00D86988">
      <w:pPr>
        <w:pStyle w:val="FootnoteText"/>
        <w:rPr>
          <w:lang w:val="en-AU"/>
        </w:rPr>
      </w:pPr>
      <w:r>
        <w:rPr>
          <w:rStyle w:val="FootnoteReference"/>
        </w:rPr>
        <w:footnoteRef/>
      </w:r>
      <w:r>
        <w:t xml:space="preserve"> </w:t>
      </w:r>
      <w:r>
        <w:rPr>
          <w:i/>
        </w:rPr>
        <w:t xml:space="preserve">Fortescue </w:t>
      </w:r>
      <w:r>
        <w:t>(2013) 250 CLR 548, 585.</w:t>
      </w:r>
    </w:p>
  </w:footnote>
  <w:footnote w:id="7">
    <w:p w14:paraId="2529F535" w14:textId="76265709" w:rsidR="00D86988" w:rsidRPr="00D37B70" w:rsidRDefault="00D86988">
      <w:pPr>
        <w:pStyle w:val="FootnoteText"/>
        <w:rPr>
          <w:lang w:val="en-AU"/>
        </w:rPr>
      </w:pPr>
      <w:r>
        <w:rPr>
          <w:rStyle w:val="FootnoteReference"/>
        </w:rPr>
        <w:footnoteRef/>
      </w:r>
      <w:r>
        <w:t xml:space="preserve"> </w:t>
      </w:r>
      <w:r w:rsidRPr="00BC7FE3">
        <w:rPr>
          <w:rFonts w:cs="Times New Roman"/>
          <w:i/>
          <w:szCs w:val="20"/>
        </w:rPr>
        <w:t>Commonwealth of Australia Constitution Act 1900</w:t>
      </w:r>
      <w:r>
        <w:rPr>
          <w:rFonts w:cs="Times New Roman"/>
          <w:szCs w:val="20"/>
        </w:rPr>
        <w:t xml:space="preserve"> (Imp) 63 &amp; 64 Vict, c 12, s 6.</w:t>
      </w:r>
    </w:p>
  </w:footnote>
  <w:footnote w:id="8">
    <w:p w14:paraId="1EF563E2" w14:textId="03163070" w:rsidR="00D86988" w:rsidRPr="00B30A2E" w:rsidRDefault="00D86988">
      <w:pPr>
        <w:pStyle w:val="FootnoteText"/>
        <w:rPr>
          <w:lang w:val="en-AU"/>
        </w:rPr>
      </w:pPr>
      <w:r>
        <w:rPr>
          <w:rStyle w:val="FootnoteReference"/>
        </w:rPr>
        <w:footnoteRef/>
      </w:r>
      <w:r>
        <w:t xml:space="preserve"> </w:t>
      </w:r>
      <w:r>
        <w:rPr>
          <w:lang w:val="en-AU"/>
        </w:rPr>
        <w:t xml:space="preserve">Ross Anderson, ‘The States and Relations With The Commonwealth’ in Justice Else-Mitchell, </w:t>
      </w:r>
      <w:r>
        <w:rPr>
          <w:i/>
          <w:lang w:val="en-AU"/>
        </w:rPr>
        <w:t xml:space="preserve">Essays on the Australian Constitution </w:t>
      </w:r>
      <w:r>
        <w:rPr>
          <w:lang w:val="en-AU"/>
        </w:rPr>
        <w:t>(Law Book, 2</w:t>
      </w:r>
      <w:r w:rsidRPr="00B30A2E">
        <w:rPr>
          <w:vertAlign w:val="superscript"/>
          <w:lang w:val="en-AU"/>
        </w:rPr>
        <w:t>nd</w:t>
      </w:r>
      <w:r>
        <w:rPr>
          <w:lang w:val="en-AU"/>
        </w:rPr>
        <w:t xml:space="preserve"> ed, 1961) 93, 94-5; Geoffrey Sawer, </w:t>
      </w:r>
      <w:r>
        <w:rPr>
          <w:i/>
          <w:lang w:val="en-AU"/>
        </w:rPr>
        <w:t xml:space="preserve">Australian Federalism in the Courts </w:t>
      </w:r>
      <w:r>
        <w:rPr>
          <w:lang w:val="en-AU"/>
        </w:rPr>
        <w:t xml:space="preserve">(Melbourne University Press, 1967) 18-19; </w:t>
      </w:r>
      <w:r>
        <w:t xml:space="preserve">Dennis Rose, ‘Discrimination, Uniformity and Preference – Some Aspects of the Express Constitutional Provisions’ in Leslie Zines (ed), </w:t>
      </w:r>
      <w:r>
        <w:rPr>
          <w:i/>
        </w:rPr>
        <w:t xml:space="preserve">Commentaries on the Australian Constitution </w:t>
      </w:r>
      <w:r>
        <w:t xml:space="preserve">(Butterworths, 1977) 191, 191-3; P H Lane, </w:t>
      </w:r>
      <w:r>
        <w:rPr>
          <w:i/>
        </w:rPr>
        <w:t xml:space="preserve">The Australian Federal System </w:t>
      </w:r>
      <w:r>
        <w:t>(Law Book, 2</w:t>
      </w:r>
      <w:r w:rsidRPr="00B14C47">
        <w:rPr>
          <w:vertAlign w:val="superscript"/>
        </w:rPr>
        <w:t>nd</w:t>
      </w:r>
      <w:r>
        <w:t xml:space="preserve"> ed, 1979) 114; </w:t>
      </w:r>
      <w:r>
        <w:rPr>
          <w:lang w:val="en-AU"/>
        </w:rPr>
        <w:t xml:space="preserve">Cheryl Saunders, ‘Concepts of Equality in the Australian Constitution’ in Geoffrey Lindell (ed), </w:t>
      </w:r>
      <w:r>
        <w:rPr>
          <w:i/>
          <w:lang w:val="en-AU"/>
        </w:rPr>
        <w:t xml:space="preserve">Future Directions in Australian Constitutional Law </w:t>
      </w:r>
      <w:r>
        <w:rPr>
          <w:lang w:val="en-AU"/>
        </w:rPr>
        <w:t>(Federation Press, 1994) 209, 209-11</w:t>
      </w:r>
      <w:r>
        <w:t>.</w:t>
      </w:r>
    </w:p>
  </w:footnote>
  <w:footnote w:id="9">
    <w:p w14:paraId="22993898" w14:textId="3E068F24" w:rsidR="00D86988" w:rsidRPr="00186EDB" w:rsidRDefault="00D86988" w:rsidP="008D6781">
      <w:pPr>
        <w:pStyle w:val="FootnoteText"/>
        <w:rPr>
          <w:lang w:val="en-AU"/>
        </w:rPr>
      </w:pPr>
      <w:r>
        <w:rPr>
          <w:rStyle w:val="FootnoteReference"/>
        </w:rPr>
        <w:footnoteRef/>
      </w:r>
      <w:r>
        <w:t xml:space="preserve"> </w:t>
      </w:r>
      <w:r>
        <w:rPr>
          <w:i/>
          <w:lang w:val="en-AU"/>
        </w:rPr>
        <w:t>Constitution</w:t>
      </w:r>
      <w:r>
        <w:rPr>
          <w:lang w:val="en-AU"/>
        </w:rPr>
        <w:t xml:space="preserve"> s 102.</w:t>
      </w:r>
    </w:p>
  </w:footnote>
  <w:footnote w:id="10">
    <w:p w14:paraId="60CE1223" w14:textId="0851C57C" w:rsidR="00D86988" w:rsidRPr="00EC7611" w:rsidRDefault="00D86988" w:rsidP="00F25050">
      <w:pPr>
        <w:pStyle w:val="FootnoteText"/>
        <w:rPr>
          <w:lang w:val="en-AU"/>
        </w:rPr>
      </w:pPr>
      <w:r>
        <w:rPr>
          <w:rStyle w:val="FootnoteReference"/>
        </w:rPr>
        <w:footnoteRef/>
      </w:r>
      <w:r>
        <w:t xml:space="preserve"> </w:t>
      </w:r>
      <w:r>
        <w:rPr>
          <w:lang w:val="en-AU"/>
        </w:rPr>
        <w:t>Ibid</w:t>
      </w:r>
      <w:r>
        <w:rPr>
          <w:i/>
          <w:lang w:val="en-AU"/>
        </w:rPr>
        <w:t xml:space="preserve"> </w:t>
      </w:r>
      <w:r>
        <w:rPr>
          <w:lang w:val="en-AU"/>
        </w:rPr>
        <w:t>ss 88, 90.</w:t>
      </w:r>
    </w:p>
  </w:footnote>
  <w:footnote w:id="11">
    <w:p w14:paraId="22DB5D1A" w14:textId="4AA5D5AD" w:rsidR="00D86988" w:rsidRPr="00C538B9" w:rsidRDefault="00D86988" w:rsidP="00F25050">
      <w:pPr>
        <w:pStyle w:val="FootnoteText"/>
        <w:rPr>
          <w:lang w:val="en-AU"/>
        </w:rPr>
      </w:pPr>
      <w:r>
        <w:rPr>
          <w:rStyle w:val="FootnoteReference"/>
        </w:rPr>
        <w:footnoteRef/>
      </w:r>
      <w:r>
        <w:t xml:space="preserve"> </w:t>
      </w:r>
      <w:r>
        <w:rPr>
          <w:lang w:val="en-AU"/>
        </w:rPr>
        <w:t>Ibid</w:t>
      </w:r>
      <w:r>
        <w:rPr>
          <w:i/>
          <w:lang w:val="en-AU"/>
        </w:rPr>
        <w:t xml:space="preserve"> </w:t>
      </w:r>
      <w:r>
        <w:rPr>
          <w:lang w:val="en-AU"/>
        </w:rPr>
        <w:t>s 51(iii).</w:t>
      </w:r>
    </w:p>
  </w:footnote>
  <w:footnote w:id="12">
    <w:p w14:paraId="5351FB10" w14:textId="3F91CEA2" w:rsidR="00D86988" w:rsidRPr="00186EDB" w:rsidRDefault="00D86988" w:rsidP="000D43EF">
      <w:pPr>
        <w:pStyle w:val="FootnoteText"/>
        <w:rPr>
          <w:lang w:val="en-AU"/>
        </w:rPr>
      </w:pPr>
      <w:r>
        <w:rPr>
          <w:rStyle w:val="FootnoteReference"/>
        </w:rPr>
        <w:footnoteRef/>
      </w:r>
      <w:r>
        <w:t xml:space="preserve"> Ibid s 92.</w:t>
      </w:r>
    </w:p>
  </w:footnote>
  <w:footnote w:id="13">
    <w:p w14:paraId="4108C9D1" w14:textId="2D9A076C" w:rsidR="00D86988" w:rsidRPr="008D6781" w:rsidRDefault="00D86988">
      <w:pPr>
        <w:pStyle w:val="FootnoteText"/>
        <w:rPr>
          <w:lang w:val="en-AU"/>
        </w:rPr>
      </w:pPr>
      <w:r>
        <w:rPr>
          <w:rStyle w:val="FootnoteReference"/>
        </w:rPr>
        <w:footnoteRef/>
      </w:r>
      <w:r>
        <w:t xml:space="preserve"> </w:t>
      </w:r>
      <w:r>
        <w:rPr>
          <w:lang w:val="en-AU"/>
        </w:rPr>
        <w:t>Ibid s 117.</w:t>
      </w:r>
    </w:p>
  </w:footnote>
  <w:footnote w:id="14">
    <w:p w14:paraId="6AB15434" w14:textId="303DE482" w:rsidR="00D86988" w:rsidRPr="00FE5BAD" w:rsidRDefault="00D86988">
      <w:pPr>
        <w:pStyle w:val="FootnoteText"/>
        <w:rPr>
          <w:lang w:val="en-AU"/>
        </w:rPr>
      </w:pPr>
      <w:r>
        <w:rPr>
          <w:rStyle w:val="FootnoteReference"/>
        </w:rPr>
        <w:footnoteRef/>
      </w:r>
      <w:r>
        <w:t xml:space="preserve"> Saunders, above n </w:t>
      </w:r>
      <w:r>
        <w:fldChar w:fldCharType="begin"/>
      </w:r>
      <w:r>
        <w:instrText xml:space="preserve"> NOTEREF _Ref444440163 \h </w:instrText>
      </w:r>
      <w:r>
        <w:fldChar w:fldCharType="separate"/>
      </w:r>
      <w:r>
        <w:t>8</w:t>
      </w:r>
      <w:r>
        <w:fldChar w:fldCharType="end"/>
      </w:r>
      <w:r>
        <w:t xml:space="preserve">, </w:t>
      </w:r>
      <w:r>
        <w:rPr>
          <w:lang w:val="en-AU"/>
        </w:rPr>
        <w:t xml:space="preserve">211. See also Dennis Rose, ‘Discrimination and Preference’ in Graham Brennan (ed), </w:t>
      </w:r>
      <w:r>
        <w:rPr>
          <w:i/>
          <w:lang w:val="en-AU"/>
        </w:rPr>
        <w:t xml:space="preserve">Constitutional Reform and Fiscal Federalism </w:t>
      </w:r>
      <w:r>
        <w:rPr>
          <w:lang w:val="en-AU"/>
        </w:rPr>
        <w:t>(</w:t>
      </w:r>
      <w:r w:rsidRPr="000E0335">
        <w:rPr>
          <w:lang w:val="en-AU"/>
        </w:rPr>
        <w:t>Centre for Research</w:t>
      </w:r>
      <w:r>
        <w:rPr>
          <w:lang w:val="en-AU"/>
        </w:rPr>
        <w:t xml:space="preserve"> on Federal Financial Relations,</w:t>
      </w:r>
      <w:r w:rsidRPr="000E0335">
        <w:rPr>
          <w:lang w:val="en-AU"/>
        </w:rPr>
        <w:t xml:space="preserve"> ANU Occasional Paper No 42, 1987</w:t>
      </w:r>
      <w:r>
        <w:rPr>
          <w:lang w:val="en-AU"/>
        </w:rPr>
        <w:t>) 61, 67.</w:t>
      </w:r>
    </w:p>
  </w:footnote>
  <w:footnote w:id="15">
    <w:p w14:paraId="5D6F5B78" w14:textId="4480BB9B" w:rsidR="00D86988" w:rsidRPr="00045E01" w:rsidRDefault="00D86988" w:rsidP="00F8695F">
      <w:pPr>
        <w:pStyle w:val="FootnoteText"/>
        <w:rPr>
          <w:lang w:val="en-AU"/>
        </w:rPr>
      </w:pPr>
      <w:r w:rsidRPr="00057C33">
        <w:rPr>
          <w:rStyle w:val="FootnoteReference"/>
          <w:rFonts w:cs="Times New Roman"/>
          <w:szCs w:val="20"/>
        </w:rPr>
        <w:footnoteRef/>
      </w:r>
      <w:r w:rsidRPr="00057C33">
        <w:t xml:space="preserve"> </w:t>
      </w:r>
      <w:r>
        <w:rPr>
          <w:i/>
        </w:rPr>
        <w:t xml:space="preserve">Income Tax Assessment Act 1997 </w:t>
      </w:r>
      <w:r>
        <w:t>(Cth) ss 4-10, 4-15 (‘</w:t>
      </w:r>
      <w:r>
        <w:rPr>
          <w:i/>
        </w:rPr>
        <w:t>ITAA 1997</w:t>
      </w:r>
      <w:r>
        <w:t>’).</w:t>
      </w:r>
    </w:p>
  </w:footnote>
  <w:footnote w:id="16">
    <w:p w14:paraId="5FF86941" w14:textId="5B86AEAA" w:rsidR="00D86988" w:rsidRPr="00E85F41" w:rsidRDefault="00D86988" w:rsidP="00F8695F">
      <w:pPr>
        <w:pStyle w:val="FootnoteText"/>
        <w:rPr>
          <w:lang w:val="en-AU"/>
        </w:rPr>
      </w:pPr>
      <w:r>
        <w:rPr>
          <w:rStyle w:val="FootnoteReference"/>
        </w:rPr>
        <w:footnoteRef/>
      </w:r>
      <w:r>
        <w:t xml:space="preserve"> </w:t>
      </w:r>
      <w:r>
        <w:rPr>
          <w:lang w:val="en-AU"/>
        </w:rPr>
        <w:t>Ibid s 13-1.</w:t>
      </w:r>
    </w:p>
  </w:footnote>
  <w:footnote w:id="17">
    <w:p w14:paraId="57EAD7BA" w14:textId="77777777" w:rsidR="00D86988" w:rsidRPr="00184481" w:rsidRDefault="00D86988" w:rsidP="00F8695F">
      <w:pPr>
        <w:pStyle w:val="FootnoteText"/>
        <w:rPr>
          <w:lang w:val="en-AU"/>
        </w:rPr>
      </w:pPr>
      <w:r>
        <w:rPr>
          <w:rStyle w:val="FootnoteReference"/>
        </w:rPr>
        <w:footnoteRef/>
      </w:r>
      <w:r>
        <w:t xml:space="preserve"> Australian Taxation Office, </w:t>
      </w:r>
      <w:r w:rsidRPr="004446E4">
        <w:rPr>
          <w:i/>
        </w:rPr>
        <w:t>Taxation statistics 2012–13, Table 1: Individuals: Selected items, for income years 1978–79 to 2012–13</w:t>
      </w:r>
      <w:r>
        <w:t xml:space="preserve"> (4 May 2015) &lt;</w:t>
      </w:r>
      <w:r w:rsidRPr="004446E4">
        <w:t>https://www.ato.gov.au/About-ATO/Research-and-statistics/In-detail/Tax-statistics/Taxation-statistics-2012-13/?page=22</w:t>
      </w:r>
      <w:r>
        <w:t>&gt;.</w:t>
      </w:r>
    </w:p>
  </w:footnote>
  <w:footnote w:id="18">
    <w:p w14:paraId="6762D0BC" w14:textId="1FE78BEE" w:rsidR="00D86988" w:rsidRPr="00D53E80" w:rsidRDefault="00D86988" w:rsidP="00F8695F">
      <w:pPr>
        <w:pStyle w:val="FootnoteText"/>
        <w:rPr>
          <w:lang w:val="en-AU"/>
        </w:rPr>
      </w:pPr>
      <w:r>
        <w:rPr>
          <w:rStyle w:val="FootnoteReference"/>
        </w:rPr>
        <w:footnoteRef/>
      </w:r>
      <w:r>
        <w:t xml:space="preserve"> </w:t>
      </w:r>
      <w:r>
        <w:rPr>
          <w:i/>
          <w:lang w:val="en-AU"/>
        </w:rPr>
        <w:t>ITAA 1936</w:t>
      </w:r>
      <w:r>
        <w:rPr>
          <w:lang w:val="en-AU"/>
        </w:rPr>
        <w:t xml:space="preserve"> s 79</w:t>
      </w:r>
      <w:proofErr w:type="gramStart"/>
      <w:r>
        <w:rPr>
          <w:lang w:val="en-AU"/>
        </w:rPr>
        <w:t>A(</w:t>
      </w:r>
      <w:proofErr w:type="gramEnd"/>
      <w:r>
        <w:rPr>
          <w:lang w:val="en-AU"/>
        </w:rPr>
        <w:t>1).</w:t>
      </w:r>
    </w:p>
  </w:footnote>
  <w:footnote w:id="19">
    <w:p w14:paraId="54EEB827" w14:textId="7472DB75" w:rsidR="00D86988" w:rsidRPr="00B57F76" w:rsidRDefault="00D86988" w:rsidP="00F8695F">
      <w:pPr>
        <w:pStyle w:val="FootnoteText"/>
        <w:rPr>
          <w:lang w:val="en-AU"/>
        </w:rPr>
      </w:pPr>
      <w:r>
        <w:rPr>
          <w:rStyle w:val="FootnoteReference"/>
        </w:rPr>
        <w:footnoteRef/>
      </w:r>
      <w:r>
        <w:t xml:space="preserve"> </w:t>
      </w:r>
      <w:r>
        <w:rPr>
          <w:lang w:val="en-AU"/>
        </w:rPr>
        <w:t>Ibid s 79A(3B).</w:t>
      </w:r>
    </w:p>
  </w:footnote>
  <w:footnote w:id="20">
    <w:p w14:paraId="651B93AC" w14:textId="01F6CA15" w:rsidR="00D86988" w:rsidRPr="00970EEB" w:rsidRDefault="00D86988" w:rsidP="00F8695F">
      <w:pPr>
        <w:pStyle w:val="FootnoteText"/>
        <w:rPr>
          <w:lang w:val="en-AU"/>
        </w:rPr>
      </w:pPr>
      <w:r>
        <w:rPr>
          <w:rStyle w:val="FootnoteReference"/>
        </w:rPr>
        <w:footnoteRef/>
      </w:r>
      <w:r>
        <w:t xml:space="preserve"> </w:t>
      </w:r>
      <w:r>
        <w:rPr>
          <w:lang w:val="en-AU"/>
        </w:rPr>
        <w:t>Ibid s 79</w:t>
      </w:r>
      <w:proofErr w:type="gramStart"/>
      <w:r>
        <w:rPr>
          <w:lang w:val="en-AU"/>
        </w:rPr>
        <w:t>A(</w:t>
      </w:r>
      <w:proofErr w:type="gramEnd"/>
      <w:r>
        <w:rPr>
          <w:lang w:val="en-AU"/>
        </w:rPr>
        <w:t>4). For the zones as enacted, see Figure 1. For the current zones, see Figure 2.</w:t>
      </w:r>
    </w:p>
  </w:footnote>
  <w:footnote w:id="21">
    <w:p w14:paraId="2050BE58" w14:textId="390C6BF1" w:rsidR="00D86988" w:rsidRPr="00D53E80" w:rsidRDefault="00D86988" w:rsidP="00F8695F">
      <w:pPr>
        <w:pStyle w:val="FootnoteText"/>
        <w:rPr>
          <w:lang w:val="en-AU"/>
        </w:rPr>
      </w:pPr>
      <w:r>
        <w:rPr>
          <w:rStyle w:val="FootnoteReference"/>
        </w:rPr>
        <w:footnoteRef/>
      </w:r>
      <w:r>
        <w:t xml:space="preserve"> </w:t>
      </w:r>
      <w:r>
        <w:rPr>
          <w:lang w:val="en-AU"/>
        </w:rPr>
        <w:t>Ibid sch 2 pt I.</w:t>
      </w:r>
    </w:p>
  </w:footnote>
  <w:footnote w:id="22">
    <w:p w14:paraId="54A2E7F2" w14:textId="77777777" w:rsidR="00D86988" w:rsidRPr="00D53E80" w:rsidRDefault="00D86988" w:rsidP="00F8695F">
      <w:pPr>
        <w:pStyle w:val="FootnoteText"/>
        <w:rPr>
          <w:lang w:val="en-AU"/>
        </w:rPr>
      </w:pPr>
      <w:r>
        <w:rPr>
          <w:rStyle w:val="FootnoteReference"/>
        </w:rPr>
        <w:footnoteRef/>
      </w:r>
      <w:r>
        <w:t xml:space="preserve"> </w:t>
      </w:r>
      <w:r>
        <w:rPr>
          <w:lang w:val="en-AU"/>
        </w:rPr>
        <w:t>Ibid sch 2 pt II.</w:t>
      </w:r>
    </w:p>
  </w:footnote>
  <w:footnote w:id="23">
    <w:p w14:paraId="08A90EAD" w14:textId="0C8B6ED1" w:rsidR="00D86988" w:rsidRPr="00C90008" w:rsidRDefault="00D86988" w:rsidP="00F8695F">
      <w:pPr>
        <w:pStyle w:val="FootnoteText"/>
        <w:rPr>
          <w:lang w:val="en-AU"/>
        </w:rPr>
      </w:pPr>
      <w:r>
        <w:rPr>
          <w:rStyle w:val="FootnoteReference"/>
        </w:rPr>
        <w:footnoteRef/>
      </w:r>
      <w:r>
        <w:t xml:space="preserve"> </w:t>
      </w:r>
      <w:r>
        <w:rPr>
          <w:lang w:val="en-AU"/>
        </w:rPr>
        <w:t>Ibid s 79A(3D), 79</w:t>
      </w:r>
      <w:proofErr w:type="gramStart"/>
      <w:r>
        <w:rPr>
          <w:lang w:val="en-AU"/>
        </w:rPr>
        <w:t>A(</w:t>
      </w:r>
      <w:proofErr w:type="gramEnd"/>
      <w:r>
        <w:rPr>
          <w:lang w:val="en-AU"/>
        </w:rPr>
        <w:t xml:space="preserve">4). Individuals who were eligible before 1981 based on </w:t>
      </w:r>
      <w:r>
        <w:t>1976 census data may still rely on the 1976 data.</w:t>
      </w:r>
    </w:p>
  </w:footnote>
  <w:footnote w:id="24">
    <w:p w14:paraId="2462C0D3" w14:textId="3858B3E7" w:rsidR="00D86988" w:rsidRPr="00D77433" w:rsidRDefault="00D86988">
      <w:pPr>
        <w:pStyle w:val="FootnoteText"/>
        <w:rPr>
          <w:lang w:val="en-AU"/>
        </w:rPr>
      </w:pPr>
      <w:r>
        <w:rPr>
          <w:rStyle w:val="FootnoteReference"/>
        </w:rPr>
        <w:footnoteRef/>
      </w:r>
      <w:r>
        <w:t xml:space="preserve"> Explanatory Memorandum, Income Tax Assessment Bill 1945 (Cth).</w:t>
      </w:r>
    </w:p>
  </w:footnote>
  <w:footnote w:id="25">
    <w:p w14:paraId="58A4BB91" w14:textId="24ADBDD7" w:rsidR="00D86988" w:rsidRPr="00DC746B" w:rsidRDefault="00D86988" w:rsidP="00F8695F">
      <w:pPr>
        <w:pStyle w:val="FootnoteText"/>
        <w:rPr>
          <w:lang w:val="en-AU"/>
        </w:rPr>
      </w:pPr>
      <w:r>
        <w:rPr>
          <w:rStyle w:val="FootnoteReference"/>
        </w:rPr>
        <w:footnoteRef/>
      </w:r>
      <w:r>
        <w:t xml:space="preserve"> </w:t>
      </w:r>
      <w:r>
        <w:rPr>
          <w:i/>
        </w:rPr>
        <w:t>ITAA 1936</w:t>
      </w:r>
      <w:r>
        <w:t xml:space="preserve"> ss 79A(2)-79A(2A), 79</w:t>
      </w:r>
      <w:proofErr w:type="gramStart"/>
      <w:r>
        <w:t>A(</w:t>
      </w:r>
      <w:proofErr w:type="gramEnd"/>
      <w:r>
        <w:t xml:space="preserve">4); </w:t>
      </w:r>
      <w:r>
        <w:rPr>
          <w:i/>
        </w:rPr>
        <w:t>ITAA 1997</w:t>
      </w:r>
      <w:r>
        <w:t xml:space="preserve"> sub-divs 61-A, 961-A, 961-B.</w:t>
      </w:r>
    </w:p>
  </w:footnote>
  <w:footnote w:id="26">
    <w:p w14:paraId="27DE7786" w14:textId="77777777" w:rsidR="00D86988" w:rsidRPr="00D77433" w:rsidRDefault="00D86988" w:rsidP="00CF77FC">
      <w:pPr>
        <w:pStyle w:val="FootnoteText"/>
        <w:rPr>
          <w:lang w:val="en-AU"/>
        </w:rPr>
      </w:pPr>
      <w:r>
        <w:rPr>
          <w:rStyle w:val="FootnoteReference"/>
        </w:rPr>
        <w:footnoteRef/>
      </w:r>
      <w:r>
        <w:t xml:space="preserve"> </w:t>
      </w:r>
      <w:r w:rsidRPr="00911854">
        <w:rPr>
          <w:lang w:val="en-AU"/>
        </w:rPr>
        <w:t xml:space="preserve">Commonwealth, </w:t>
      </w:r>
      <w:r w:rsidRPr="00911854">
        <w:rPr>
          <w:i/>
          <w:lang w:val="en-AU"/>
        </w:rPr>
        <w:t xml:space="preserve">Report of the Public Inquiry into Income Tax Zone Allowances, </w:t>
      </w:r>
      <w:r>
        <w:rPr>
          <w:lang w:val="en-AU"/>
        </w:rPr>
        <w:t>Parl Paper No 149 (1981) 3 (‘Zone Allowances Inquiry’)</w:t>
      </w:r>
      <w:r>
        <w:t>.</w:t>
      </w:r>
    </w:p>
  </w:footnote>
  <w:footnote w:id="27">
    <w:p w14:paraId="42BC96C6" w14:textId="5595B322" w:rsidR="00D86988" w:rsidRPr="00B64E81" w:rsidRDefault="00D86988" w:rsidP="00F8695F">
      <w:pPr>
        <w:pStyle w:val="FootnoteText"/>
        <w:rPr>
          <w:lang w:val="en-AU"/>
        </w:rPr>
      </w:pPr>
      <w:r>
        <w:rPr>
          <w:rStyle w:val="FootnoteReference"/>
        </w:rPr>
        <w:footnoteRef/>
      </w:r>
      <w:r>
        <w:t xml:space="preserve"> </w:t>
      </w:r>
      <w:r>
        <w:rPr>
          <w:i/>
          <w:lang w:val="en-AU"/>
        </w:rPr>
        <w:t>ITAA 1997</w:t>
      </w:r>
      <w:r>
        <w:rPr>
          <w:lang w:val="en-AU"/>
        </w:rPr>
        <w:t xml:space="preserve"> ss 63-10(1) item 20, 67-20, 67-23.</w:t>
      </w:r>
    </w:p>
  </w:footnote>
  <w:footnote w:id="28">
    <w:p w14:paraId="52E63BD8" w14:textId="77777777" w:rsidR="00D86988" w:rsidRPr="003907B3" w:rsidRDefault="00D86988" w:rsidP="00F8695F">
      <w:pPr>
        <w:pStyle w:val="FootnoteText"/>
        <w:rPr>
          <w:lang w:val="en-AU"/>
        </w:rPr>
      </w:pPr>
      <w:r>
        <w:rPr>
          <w:rStyle w:val="FootnoteReference"/>
        </w:rPr>
        <w:footnoteRef/>
      </w:r>
      <w:r>
        <w:t xml:space="preserve"> </w:t>
      </w:r>
      <w:r>
        <w:rPr>
          <w:lang w:val="en-AU"/>
        </w:rPr>
        <w:t xml:space="preserve">Commonwealth, </w:t>
      </w:r>
      <w:r>
        <w:rPr>
          <w:i/>
          <w:lang w:val="en-AU"/>
        </w:rPr>
        <w:t xml:space="preserve">Parliamentary Debates, </w:t>
      </w:r>
      <w:r>
        <w:rPr>
          <w:lang w:val="en-AU"/>
        </w:rPr>
        <w:t xml:space="preserve">House of Representatives, 19 April 1945, </w:t>
      </w:r>
      <w:r>
        <w:t>924 (Joseph Chifley, Treasurer).</w:t>
      </w:r>
    </w:p>
  </w:footnote>
  <w:footnote w:id="29">
    <w:p w14:paraId="706F3C3E" w14:textId="298EF9ED" w:rsidR="00D86988" w:rsidRPr="00327963" w:rsidRDefault="00D86988" w:rsidP="00A250F4">
      <w:pPr>
        <w:pStyle w:val="FootnoteText"/>
        <w:rPr>
          <w:lang w:val="en-AU"/>
        </w:rPr>
      </w:pPr>
      <w:r>
        <w:rPr>
          <w:rStyle w:val="FootnoteReference"/>
        </w:rPr>
        <w:footnoteRef/>
      </w:r>
      <w:r>
        <w:t xml:space="preserve"> Geoffrey Sawer, ‘Commonwealth Taxation Laws – Uniformity and Preference’ (1958) 32 </w:t>
      </w:r>
      <w:r>
        <w:rPr>
          <w:i/>
        </w:rPr>
        <w:t>Australian Law Journal</w:t>
      </w:r>
      <w:r>
        <w:t xml:space="preserve"> 132.</w:t>
      </w:r>
    </w:p>
  </w:footnote>
  <w:footnote w:id="30">
    <w:p w14:paraId="3640B8AA" w14:textId="308782F3" w:rsidR="00D86988" w:rsidRPr="00883ABB" w:rsidRDefault="00D86988" w:rsidP="00A250F4">
      <w:pPr>
        <w:pStyle w:val="FootnoteText"/>
        <w:rPr>
          <w:lang w:val="en-AU"/>
        </w:rPr>
      </w:pPr>
      <w:r>
        <w:rPr>
          <w:rStyle w:val="FootnoteReference"/>
        </w:rPr>
        <w:footnoteRef/>
      </w:r>
      <w:r>
        <w:t xml:space="preserve"> </w:t>
      </w:r>
      <w:r>
        <w:rPr>
          <w:lang w:val="en-AU"/>
        </w:rPr>
        <w:t xml:space="preserve">(1958) 100 CLR 246, 259 </w:t>
      </w:r>
      <w:r>
        <w:rPr>
          <w:rFonts w:cs="Times New Roman"/>
          <w:lang w:val="en-AU"/>
        </w:rPr>
        <w:t>(‘</w:t>
      </w:r>
      <w:r>
        <w:rPr>
          <w:rFonts w:cs="Times New Roman"/>
          <w:i/>
          <w:lang w:val="en-AU"/>
        </w:rPr>
        <w:t>Clyne</w:t>
      </w:r>
      <w:r>
        <w:rPr>
          <w:rFonts w:cs="Times New Roman"/>
          <w:lang w:val="en-AU"/>
        </w:rPr>
        <w:t>’)</w:t>
      </w:r>
      <w:r>
        <w:rPr>
          <w:lang w:val="en-AU"/>
        </w:rPr>
        <w:t>.</w:t>
      </w:r>
    </w:p>
  </w:footnote>
  <w:footnote w:id="31">
    <w:p w14:paraId="291861AF" w14:textId="77777777" w:rsidR="00D86988" w:rsidRPr="00ED73EC" w:rsidRDefault="00D86988" w:rsidP="00E033FA">
      <w:pPr>
        <w:pStyle w:val="FootnoteText"/>
        <w:rPr>
          <w:lang w:val="en-AU"/>
        </w:rPr>
      </w:pPr>
      <w:r>
        <w:rPr>
          <w:rStyle w:val="FootnoteReference"/>
        </w:rPr>
        <w:footnoteRef/>
      </w:r>
      <w:r>
        <w:t xml:space="preserve"> </w:t>
      </w:r>
      <w:r>
        <w:rPr>
          <w:lang w:val="en-AU"/>
        </w:rPr>
        <w:t>Ibid 265-8 (Dixon CJ), 268 (McTiernan and Williams JJ), 272 (Kitto and Taylor JJ).</w:t>
      </w:r>
    </w:p>
  </w:footnote>
  <w:footnote w:id="32">
    <w:p w14:paraId="299DC692" w14:textId="77777777" w:rsidR="00D86988" w:rsidRPr="00F24305" w:rsidRDefault="00D86988" w:rsidP="00E033FA">
      <w:pPr>
        <w:pStyle w:val="FootnoteText"/>
        <w:rPr>
          <w:lang w:val="en-AU"/>
        </w:rPr>
      </w:pPr>
      <w:r>
        <w:rPr>
          <w:rStyle w:val="FootnoteReference"/>
        </w:rPr>
        <w:footnoteRef/>
      </w:r>
      <w:r>
        <w:t xml:space="preserve"> </w:t>
      </w:r>
      <w:r>
        <w:rPr>
          <w:lang w:val="en-AU"/>
        </w:rPr>
        <w:t>Ibid 271-2.</w:t>
      </w:r>
    </w:p>
  </w:footnote>
  <w:footnote w:id="33">
    <w:p w14:paraId="1E1876AF" w14:textId="48C13492" w:rsidR="00D86988" w:rsidRPr="00343C87" w:rsidRDefault="00D86988">
      <w:pPr>
        <w:pStyle w:val="FootnoteText"/>
        <w:rPr>
          <w:lang w:val="en-AU"/>
        </w:rPr>
      </w:pPr>
      <w:r>
        <w:rPr>
          <w:rStyle w:val="FootnoteReference"/>
        </w:rPr>
        <w:footnoteRef/>
      </w:r>
      <w:r>
        <w:t xml:space="preserve"> Rose, above n </w:t>
      </w:r>
      <w:r>
        <w:fldChar w:fldCharType="begin"/>
      </w:r>
      <w:r>
        <w:instrText xml:space="preserve"> NOTEREF _Ref444440163 \h </w:instrText>
      </w:r>
      <w:r>
        <w:fldChar w:fldCharType="separate"/>
      </w:r>
      <w:r>
        <w:t>8</w:t>
      </w:r>
      <w:r>
        <w:fldChar w:fldCharType="end"/>
      </w:r>
      <w:r>
        <w:t xml:space="preserve">, </w:t>
      </w:r>
      <w:r>
        <w:rPr>
          <w:lang w:val="en-AU"/>
        </w:rPr>
        <w:t xml:space="preserve">197-8; Rose, above n </w:t>
      </w:r>
      <w:r>
        <w:rPr>
          <w:lang w:val="en-AU"/>
        </w:rPr>
        <w:fldChar w:fldCharType="begin"/>
      </w:r>
      <w:r>
        <w:rPr>
          <w:lang w:val="en-AU"/>
        </w:rPr>
        <w:instrText xml:space="preserve"> NOTEREF _Ref449533330 \h </w:instrText>
      </w:r>
      <w:r>
        <w:rPr>
          <w:lang w:val="en-AU"/>
        </w:rPr>
      </w:r>
      <w:r>
        <w:rPr>
          <w:lang w:val="en-AU"/>
        </w:rPr>
        <w:fldChar w:fldCharType="separate"/>
      </w:r>
      <w:r>
        <w:rPr>
          <w:lang w:val="en-AU"/>
        </w:rPr>
        <w:t>14</w:t>
      </w:r>
      <w:r>
        <w:rPr>
          <w:lang w:val="en-AU"/>
        </w:rPr>
        <w:fldChar w:fldCharType="end"/>
      </w:r>
      <w:r>
        <w:rPr>
          <w:lang w:val="en-AU"/>
        </w:rPr>
        <w:t xml:space="preserve">, 70-1; </w:t>
      </w:r>
      <w:r>
        <w:t xml:space="preserve">Lane, above n </w:t>
      </w:r>
      <w:r>
        <w:fldChar w:fldCharType="begin"/>
      </w:r>
      <w:r>
        <w:instrText xml:space="preserve"> NOTEREF _Ref444440163 \h </w:instrText>
      </w:r>
      <w:r>
        <w:fldChar w:fldCharType="separate"/>
      </w:r>
      <w:r>
        <w:t>8</w:t>
      </w:r>
      <w:r>
        <w:fldChar w:fldCharType="end"/>
      </w:r>
      <w:r>
        <w:t xml:space="preserve">, 114; </w:t>
      </w:r>
      <w:r w:rsidRPr="00BC7FE3">
        <w:rPr>
          <w:rFonts w:cs="Times New Roman"/>
          <w:szCs w:val="20"/>
        </w:rPr>
        <w:t xml:space="preserve">Anthony Gray, ‘Discriminatory Taxation in Light of </w:t>
      </w:r>
      <w:r w:rsidRPr="00BC7FE3">
        <w:rPr>
          <w:rFonts w:cs="Times New Roman"/>
          <w:i/>
          <w:szCs w:val="20"/>
        </w:rPr>
        <w:t>Fortescue</w:t>
      </w:r>
      <w:r w:rsidRPr="00BC7FE3">
        <w:rPr>
          <w:rFonts w:cs="Times New Roman"/>
          <w:szCs w:val="20"/>
        </w:rPr>
        <w:t xml:space="preserve">: Its Implications for the Development of Northern Australia’ (2014) 42 </w:t>
      </w:r>
      <w:r w:rsidRPr="00BC7FE3">
        <w:rPr>
          <w:rFonts w:cs="Times New Roman"/>
          <w:i/>
          <w:szCs w:val="20"/>
        </w:rPr>
        <w:t>Federal Law Review</w:t>
      </w:r>
      <w:r w:rsidRPr="00BC7FE3">
        <w:rPr>
          <w:rFonts w:cs="Times New Roman"/>
          <w:szCs w:val="20"/>
        </w:rPr>
        <w:t xml:space="preserve"> 67</w:t>
      </w:r>
      <w:r>
        <w:rPr>
          <w:rFonts w:cs="Times New Roman"/>
          <w:szCs w:val="20"/>
        </w:rPr>
        <w:t>, 79</w:t>
      </w:r>
      <w:r>
        <w:rPr>
          <w:lang w:val="en-AU"/>
        </w:rPr>
        <w:t>.</w:t>
      </w:r>
    </w:p>
  </w:footnote>
  <w:footnote w:id="34">
    <w:p w14:paraId="7D5877D7" w14:textId="73016914" w:rsidR="00D86988" w:rsidRPr="001173D1" w:rsidRDefault="00D86988">
      <w:pPr>
        <w:pStyle w:val="FootnoteText"/>
        <w:rPr>
          <w:lang w:val="en-AU"/>
        </w:rPr>
      </w:pPr>
      <w:r>
        <w:rPr>
          <w:rStyle w:val="FootnoteReference"/>
        </w:rPr>
        <w:footnoteRef/>
      </w:r>
      <w:r>
        <w:t xml:space="preserve"> Sawer, above n </w:t>
      </w:r>
      <w:r>
        <w:fldChar w:fldCharType="begin"/>
      </w:r>
      <w:r>
        <w:instrText xml:space="preserve"> NOTEREF _Ref449554099 \h </w:instrText>
      </w:r>
      <w:r>
        <w:fldChar w:fldCharType="separate"/>
      </w:r>
      <w:r>
        <w:t>29</w:t>
      </w:r>
      <w:r>
        <w:fldChar w:fldCharType="end"/>
      </w:r>
      <w:r>
        <w:t xml:space="preserve">; </w:t>
      </w:r>
      <w:r>
        <w:rPr>
          <w:lang w:val="en-AU"/>
        </w:rPr>
        <w:t xml:space="preserve">Gareth Evans, ‘The Most Dangerous Branch? The High Court and the Constitution in a Changing Society’ in David Hambly and John Goldring (eds), </w:t>
      </w:r>
      <w:r>
        <w:rPr>
          <w:i/>
          <w:lang w:val="en-AU"/>
        </w:rPr>
        <w:t xml:space="preserve">Australian Lawyers and Social Change </w:t>
      </w:r>
      <w:r>
        <w:rPr>
          <w:lang w:val="en-AU"/>
        </w:rPr>
        <w:t>(Law Book, 1976) 13, 33</w:t>
      </w:r>
      <w:r>
        <w:t>.</w:t>
      </w:r>
    </w:p>
  </w:footnote>
  <w:footnote w:id="35">
    <w:p w14:paraId="348A58A9" w14:textId="304C81BF" w:rsidR="00D86988" w:rsidRPr="002E5DA5" w:rsidRDefault="00D86988" w:rsidP="00F60C65">
      <w:pPr>
        <w:pStyle w:val="FootnoteText"/>
        <w:rPr>
          <w:lang w:val="en-AU"/>
        </w:rPr>
      </w:pPr>
      <w:r>
        <w:rPr>
          <w:rStyle w:val="FootnoteReference"/>
        </w:rPr>
        <w:footnoteRef/>
      </w:r>
      <w:r>
        <w:t xml:space="preserve"> </w:t>
      </w:r>
      <w:r>
        <w:rPr>
          <w:lang w:val="en-AU"/>
        </w:rPr>
        <w:t xml:space="preserve">Zone Allowances Inquiry, above n </w:t>
      </w:r>
      <w:r>
        <w:rPr>
          <w:lang w:val="en-AU"/>
        </w:rPr>
        <w:fldChar w:fldCharType="begin"/>
      </w:r>
      <w:r>
        <w:rPr>
          <w:lang w:val="en-AU"/>
        </w:rPr>
        <w:instrText xml:space="preserve"> NOTEREF _Ref449531365 \h </w:instrText>
      </w:r>
      <w:r>
        <w:rPr>
          <w:lang w:val="en-AU"/>
        </w:rPr>
      </w:r>
      <w:r>
        <w:rPr>
          <w:lang w:val="en-AU"/>
        </w:rPr>
        <w:fldChar w:fldCharType="separate"/>
      </w:r>
      <w:r>
        <w:rPr>
          <w:lang w:val="en-AU"/>
        </w:rPr>
        <w:t>25</w:t>
      </w:r>
      <w:r>
        <w:rPr>
          <w:lang w:val="en-AU"/>
        </w:rPr>
        <w:fldChar w:fldCharType="end"/>
      </w:r>
      <w:r>
        <w:rPr>
          <w:lang w:val="en-AU"/>
        </w:rPr>
        <w:t>, 5.</w:t>
      </w:r>
    </w:p>
  </w:footnote>
  <w:footnote w:id="36">
    <w:p w14:paraId="0FA92419" w14:textId="4DCFC05A" w:rsidR="00D86988" w:rsidRPr="00F60C65" w:rsidRDefault="00D86988">
      <w:pPr>
        <w:pStyle w:val="FootnoteText"/>
        <w:rPr>
          <w:lang w:val="en-AU"/>
        </w:rPr>
      </w:pPr>
      <w:r>
        <w:rPr>
          <w:rStyle w:val="FootnoteReference"/>
        </w:rPr>
        <w:footnoteRef/>
      </w:r>
      <w:r>
        <w:t xml:space="preserve"> </w:t>
      </w:r>
      <w:r>
        <w:rPr>
          <w:lang w:val="en-AU"/>
        </w:rPr>
        <w:t>Ibid.</w:t>
      </w:r>
    </w:p>
  </w:footnote>
  <w:footnote w:id="37">
    <w:p w14:paraId="7F92966A" w14:textId="75394813" w:rsidR="00D86988" w:rsidRPr="001E5ACA" w:rsidRDefault="00D86988" w:rsidP="00F8695F">
      <w:pPr>
        <w:pStyle w:val="FootnoteText"/>
        <w:rPr>
          <w:lang w:val="en-AU"/>
        </w:rPr>
      </w:pPr>
      <w:r>
        <w:rPr>
          <w:rStyle w:val="FootnoteReference"/>
        </w:rPr>
        <w:footnoteRef/>
      </w:r>
      <w:r>
        <w:t xml:space="preserve"> Sawer, above n </w:t>
      </w:r>
      <w:r>
        <w:fldChar w:fldCharType="begin"/>
      </w:r>
      <w:r>
        <w:instrText xml:space="preserve"> NOTEREF _Ref444440163 \h </w:instrText>
      </w:r>
      <w:r>
        <w:fldChar w:fldCharType="separate"/>
      </w:r>
      <w:r>
        <w:t>8</w:t>
      </w:r>
      <w:r>
        <w:fldChar w:fldCharType="end"/>
      </w:r>
      <w:r>
        <w:t xml:space="preserve">, </w:t>
      </w:r>
      <w:r>
        <w:rPr>
          <w:lang w:val="en-AU"/>
        </w:rPr>
        <w:t>147.</w:t>
      </w:r>
    </w:p>
  </w:footnote>
  <w:footnote w:id="38">
    <w:p w14:paraId="35A16A9A" w14:textId="41CAD5A1" w:rsidR="00D86988" w:rsidRPr="007A0E4D" w:rsidRDefault="00D86988" w:rsidP="00F8695F">
      <w:pPr>
        <w:pStyle w:val="FootnoteText"/>
        <w:rPr>
          <w:lang w:val="en-AU"/>
        </w:rPr>
      </w:pPr>
      <w:r>
        <w:rPr>
          <w:rStyle w:val="FootnoteReference"/>
        </w:rPr>
        <w:footnoteRef/>
      </w:r>
      <w:r>
        <w:t xml:space="preserve"> </w:t>
      </w:r>
      <w:r>
        <w:rPr>
          <w:lang w:val="en-AU"/>
        </w:rPr>
        <w:t xml:space="preserve">Rose, above n </w:t>
      </w:r>
      <w:r>
        <w:rPr>
          <w:lang w:val="en-AU"/>
        </w:rPr>
        <w:fldChar w:fldCharType="begin"/>
      </w:r>
      <w:r>
        <w:rPr>
          <w:lang w:val="en-AU"/>
        </w:rPr>
        <w:instrText xml:space="preserve"> NOTEREF _Ref449533330 \h </w:instrText>
      </w:r>
      <w:r>
        <w:rPr>
          <w:lang w:val="en-AU"/>
        </w:rPr>
      </w:r>
      <w:r>
        <w:rPr>
          <w:lang w:val="en-AU"/>
        </w:rPr>
        <w:fldChar w:fldCharType="separate"/>
      </w:r>
      <w:r>
        <w:rPr>
          <w:lang w:val="en-AU"/>
        </w:rPr>
        <w:t>14</w:t>
      </w:r>
      <w:r>
        <w:rPr>
          <w:lang w:val="en-AU"/>
        </w:rPr>
        <w:fldChar w:fldCharType="end"/>
      </w:r>
      <w:r>
        <w:rPr>
          <w:lang w:val="en-AU"/>
        </w:rPr>
        <w:t xml:space="preserve">, 77; cf </w:t>
      </w:r>
      <w:r>
        <w:rPr>
          <w:i/>
          <w:lang w:val="en-AU"/>
        </w:rPr>
        <w:t xml:space="preserve">Clyne </w:t>
      </w:r>
      <w:r>
        <w:rPr>
          <w:lang w:val="en-AU"/>
        </w:rPr>
        <w:t>(1958) 100 CLR 246, 259.</w:t>
      </w:r>
    </w:p>
  </w:footnote>
  <w:footnote w:id="39">
    <w:p w14:paraId="0C8366CC" w14:textId="445AD09B" w:rsidR="00D86988" w:rsidRPr="007A0E4D" w:rsidRDefault="00D86988" w:rsidP="00F8695F">
      <w:pPr>
        <w:pStyle w:val="FootnoteText"/>
        <w:rPr>
          <w:lang w:val="en-AU"/>
        </w:rPr>
      </w:pPr>
      <w:r>
        <w:rPr>
          <w:rStyle w:val="FootnoteReference"/>
        </w:rPr>
        <w:footnoteRef/>
      </w:r>
      <w:r>
        <w:t xml:space="preserve"> </w:t>
      </w:r>
      <w:r>
        <w:rPr>
          <w:lang w:val="en-AU"/>
        </w:rPr>
        <w:t xml:space="preserve">Rose, above n </w:t>
      </w:r>
      <w:r>
        <w:rPr>
          <w:lang w:val="en-AU"/>
        </w:rPr>
        <w:fldChar w:fldCharType="begin"/>
      </w:r>
      <w:r>
        <w:rPr>
          <w:lang w:val="en-AU"/>
        </w:rPr>
        <w:instrText xml:space="preserve"> NOTEREF _Ref449533330 \h </w:instrText>
      </w:r>
      <w:r>
        <w:rPr>
          <w:lang w:val="en-AU"/>
        </w:rPr>
      </w:r>
      <w:r>
        <w:rPr>
          <w:lang w:val="en-AU"/>
        </w:rPr>
        <w:fldChar w:fldCharType="separate"/>
      </w:r>
      <w:r>
        <w:rPr>
          <w:lang w:val="en-AU"/>
        </w:rPr>
        <w:t>14</w:t>
      </w:r>
      <w:r>
        <w:rPr>
          <w:lang w:val="en-AU"/>
        </w:rPr>
        <w:fldChar w:fldCharType="end"/>
      </w:r>
      <w:r>
        <w:rPr>
          <w:lang w:val="en-AU"/>
        </w:rPr>
        <w:t>, 77.</w:t>
      </w:r>
    </w:p>
  </w:footnote>
  <w:footnote w:id="40">
    <w:p w14:paraId="09DC1C21" w14:textId="2F0D52DC" w:rsidR="00D86988" w:rsidRPr="00DF0435" w:rsidRDefault="00D86988" w:rsidP="000078E3">
      <w:pPr>
        <w:pStyle w:val="FootnoteText"/>
        <w:rPr>
          <w:lang w:val="en-AU"/>
        </w:rPr>
      </w:pPr>
      <w:r>
        <w:rPr>
          <w:rStyle w:val="FootnoteReference"/>
        </w:rPr>
        <w:footnoteRef/>
      </w:r>
      <w:r>
        <w:t xml:space="preserve"> </w:t>
      </w:r>
      <w:r>
        <w:rPr>
          <w:i/>
          <w:lang w:val="en-AU"/>
        </w:rPr>
        <w:t>Official Report of the National Australasian Convention Debates</w:t>
      </w:r>
      <w:r>
        <w:rPr>
          <w:lang w:val="en-AU"/>
        </w:rPr>
        <w:t xml:space="preserve">, Sydney, 3 April 1891, 679, 701; </w:t>
      </w:r>
      <w:r>
        <w:rPr>
          <w:i/>
          <w:lang w:val="en-AU"/>
        </w:rPr>
        <w:t>Official Report of the National Australasian Convention Debates</w:t>
      </w:r>
      <w:r>
        <w:rPr>
          <w:lang w:val="en-AU"/>
        </w:rPr>
        <w:t xml:space="preserve">, Adelaide, 17 April 1897, 767; </w:t>
      </w:r>
      <w:r>
        <w:rPr>
          <w:i/>
          <w:lang w:val="en-AU"/>
        </w:rPr>
        <w:t>Official Record of the Debates of the Australasian Federal Convention</w:t>
      </w:r>
      <w:r>
        <w:rPr>
          <w:lang w:val="en-AU"/>
        </w:rPr>
        <w:t>, Sydney, 22 September 1897,</w:t>
      </w:r>
      <w:r>
        <w:rPr>
          <w:i/>
          <w:lang w:val="en-AU"/>
        </w:rPr>
        <w:t xml:space="preserve"> </w:t>
      </w:r>
      <w:r>
        <w:rPr>
          <w:lang w:val="en-AU"/>
        </w:rPr>
        <w:t xml:space="preserve">1068. </w:t>
      </w:r>
    </w:p>
  </w:footnote>
  <w:footnote w:id="41">
    <w:p w14:paraId="53B5120B" w14:textId="572D7EAD" w:rsidR="00D86988" w:rsidRPr="006A4FC8" w:rsidRDefault="00D86988">
      <w:pPr>
        <w:pStyle w:val="FootnoteText"/>
        <w:rPr>
          <w:lang w:val="en-AU"/>
        </w:rPr>
      </w:pPr>
      <w:r>
        <w:rPr>
          <w:rStyle w:val="FootnoteReference"/>
        </w:rPr>
        <w:footnoteRef/>
      </w:r>
      <w:r>
        <w:t xml:space="preserve"> </w:t>
      </w:r>
      <w:r>
        <w:rPr>
          <w:lang w:val="en-AU"/>
        </w:rPr>
        <w:t>157 US 429, 595-6 (1895).</w:t>
      </w:r>
    </w:p>
  </w:footnote>
  <w:footnote w:id="42">
    <w:p w14:paraId="55DD5610" w14:textId="77777777" w:rsidR="00D86988" w:rsidRPr="001C322D" w:rsidRDefault="00D86988" w:rsidP="009574CB">
      <w:pPr>
        <w:pStyle w:val="FootnoteText"/>
        <w:rPr>
          <w:lang w:val="en-AU"/>
        </w:rPr>
      </w:pPr>
      <w:r>
        <w:rPr>
          <w:rStyle w:val="FootnoteReference"/>
        </w:rPr>
        <w:footnoteRef/>
      </w:r>
      <w:r>
        <w:t xml:space="preserve"> </w:t>
      </w:r>
      <w:r>
        <w:rPr>
          <w:i/>
        </w:rPr>
        <w:t xml:space="preserve">Official Record of the Debates of the Australasian Federal </w:t>
      </w:r>
      <w:r w:rsidRPr="006164CD">
        <w:rPr>
          <w:i/>
        </w:rPr>
        <w:t>Convention</w:t>
      </w:r>
      <w:r>
        <w:t xml:space="preserve">, Melbourne, 11 March 1898, </w:t>
      </w:r>
      <w:r w:rsidRPr="006164CD">
        <w:rPr>
          <w:lang w:val="en-AU"/>
        </w:rPr>
        <w:t>2397</w:t>
      </w:r>
      <w:r>
        <w:rPr>
          <w:lang w:val="en-AU"/>
        </w:rPr>
        <w:t xml:space="preserve"> (emphasis added).</w:t>
      </w:r>
    </w:p>
  </w:footnote>
  <w:footnote w:id="43">
    <w:p w14:paraId="3654FDB7" w14:textId="6D3AA31F" w:rsidR="00D86988" w:rsidRPr="004722E5" w:rsidRDefault="00D86988" w:rsidP="00371CF4">
      <w:pPr>
        <w:pStyle w:val="FootnoteText"/>
        <w:rPr>
          <w:lang w:val="en-AU"/>
        </w:rPr>
      </w:pPr>
      <w:r>
        <w:rPr>
          <w:rStyle w:val="FootnoteReference"/>
        </w:rPr>
        <w:footnoteRef/>
      </w:r>
      <w:r>
        <w:t xml:space="preserve"> Subsequently, additional words were removed by unreported verbal amendments to leave the prohibition as it currently stands: John Quick and Robert Garran, </w:t>
      </w:r>
      <w:r>
        <w:rPr>
          <w:i/>
        </w:rPr>
        <w:t xml:space="preserve">The Annotated Constitution of the Australian Commonwealth </w:t>
      </w:r>
      <w:r>
        <w:t xml:space="preserve">(Angus &amp; Robertson, 1901) </w:t>
      </w:r>
      <w:r w:rsidRPr="00F86E89">
        <w:rPr>
          <w:lang w:val="en-AU"/>
        </w:rPr>
        <w:t>549</w:t>
      </w:r>
      <w:r>
        <w:rPr>
          <w:lang w:val="en-AU"/>
        </w:rPr>
        <w:t>.</w:t>
      </w:r>
    </w:p>
  </w:footnote>
  <w:footnote w:id="44">
    <w:p w14:paraId="05423B94" w14:textId="3F56C41A" w:rsidR="00D86988" w:rsidRPr="006C5B86" w:rsidRDefault="00D86988" w:rsidP="00B55A70">
      <w:pPr>
        <w:pStyle w:val="FootnoteText"/>
        <w:rPr>
          <w:lang w:val="en-AU"/>
        </w:rPr>
      </w:pPr>
      <w:r>
        <w:rPr>
          <w:rStyle w:val="FootnoteReference"/>
        </w:rPr>
        <w:footnoteRef/>
      </w:r>
      <w:r>
        <w:t xml:space="preserve"> W Harrison Moore, </w:t>
      </w:r>
      <w:r>
        <w:rPr>
          <w:i/>
        </w:rPr>
        <w:t xml:space="preserve">The Constitution of </w:t>
      </w:r>
      <w:proofErr w:type="gramStart"/>
      <w:r>
        <w:rPr>
          <w:i/>
        </w:rPr>
        <w:t>The</w:t>
      </w:r>
      <w:proofErr w:type="gramEnd"/>
      <w:r>
        <w:rPr>
          <w:i/>
        </w:rPr>
        <w:t xml:space="preserve"> Commonwealth of Australia </w:t>
      </w:r>
      <w:r>
        <w:t>(Charles Maxwell, 2</w:t>
      </w:r>
      <w:r w:rsidRPr="006C5B86">
        <w:rPr>
          <w:vertAlign w:val="superscript"/>
        </w:rPr>
        <w:t>nd</w:t>
      </w:r>
      <w:r>
        <w:t xml:space="preserve"> ed, 1910) </w:t>
      </w:r>
      <w:r>
        <w:rPr>
          <w:lang w:val="en-AU"/>
        </w:rPr>
        <w:t>516.</w:t>
      </w:r>
    </w:p>
  </w:footnote>
  <w:footnote w:id="45">
    <w:p w14:paraId="668035F0" w14:textId="77777777" w:rsidR="00D86988" w:rsidRPr="0026752C" w:rsidRDefault="00D86988" w:rsidP="00C439F6">
      <w:pPr>
        <w:pStyle w:val="FootnoteText"/>
        <w:rPr>
          <w:lang w:val="en-AU"/>
        </w:rPr>
      </w:pPr>
      <w:r>
        <w:rPr>
          <w:rStyle w:val="FootnoteReference"/>
        </w:rPr>
        <w:footnoteRef/>
      </w:r>
      <w:r>
        <w:t xml:space="preserve"> </w:t>
      </w:r>
      <w:r>
        <w:rPr>
          <w:lang w:val="en-AU"/>
        </w:rPr>
        <w:t xml:space="preserve">Saunders, above n </w:t>
      </w:r>
      <w:r>
        <w:rPr>
          <w:lang w:val="en-AU"/>
        </w:rPr>
        <w:fldChar w:fldCharType="begin"/>
      </w:r>
      <w:r>
        <w:rPr>
          <w:lang w:val="en-AU"/>
        </w:rPr>
        <w:instrText xml:space="preserve"> NOTEREF _Ref444440163 \h </w:instrText>
      </w:r>
      <w:r>
        <w:rPr>
          <w:lang w:val="en-AU"/>
        </w:rPr>
      </w:r>
      <w:r>
        <w:rPr>
          <w:lang w:val="en-AU"/>
        </w:rPr>
        <w:fldChar w:fldCharType="separate"/>
      </w:r>
      <w:r>
        <w:rPr>
          <w:lang w:val="en-AU"/>
        </w:rPr>
        <w:t>8</w:t>
      </w:r>
      <w:r>
        <w:rPr>
          <w:lang w:val="en-AU"/>
        </w:rPr>
        <w:fldChar w:fldCharType="end"/>
      </w:r>
      <w:r>
        <w:rPr>
          <w:lang w:val="en-AU"/>
        </w:rPr>
        <w:t>, 221.</w:t>
      </w:r>
    </w:p>
  </w:footnote>
  <w:footnote w:id="46">
    <w:p w14:paraId="7CA2CF37" w14:textId="44632CC5" w:rsidR="00D86988" w:rsidRPr="00017707" w:rsidRDefault="00D86988">
      <w:pPr>
        <w:pStyle w:val="FootnoteText"/>
        <w:rPr>
          <w:lang w:val="en-AU"/>
        </w:rPr>
      </w:pPr>
      <w:r>
        <w:rPr>
          <w:rStyle w:val="FootnoteReference"/>
        </w:rPr>
        <w:footnoteRef/>
      </w:r>
      <w:r>
        <w:t xml:space="preserve"> See also </w:t>
      </w:r>
      <w:r>
        <w:rPr>
          <w:lang w:val="en-AU"/>
        </w:rPr>
        <w:t xml:space="preserve">Quick and Garran, above n </w:t>
      </w:r>
      <w:r>
        <w:rPr>
          <w:lang w:val="en-AU"/>
        </w:rPr>
        <w:fldChar w:fldCharType="begin"/>
      </w:r>
      <w:r>
        <w:rPr>
          <w:lang w:val="en-AU"/>
        </w:rPr>
        <w:instrText xml:space="preserve"> NOTEREF _Ref442030115 \h </w:instrText>
      </w:r>
      <w:r>
        <w:rPr>
          <w:lang w:val="en-AU"/>
        </w:rPr>
      </w:r>
      <w:r>
        <w:rPr>
          <w:lang w:val="en-AU"/>
        </w:rPr>
        <w:fldChar w:fldCharType="separate"/>
      </w:r>
      <w:r>
        <w:rPr>
          <w:lang w:val="en-AU"/>
        </w:rPr>
        <w:t>43</w:t>
      </w:r>
      <w:r>
        <w:rPr>
          <w:lang w:val="en-AU"/>
        </w:rPr>
        <w:fldChar w:fldCharType="end"/>
      </w:r>
      <w:r>
        <w:rPr>
          <w:lang w:val="en-AU"/>
        </w:rPr>
        <w:t>, 550, 877, 914.</w:t>
      </w:r>
    </w:p>
  </w:footnote>
  <w:footnote w:id="47">
    <w:p w14:paraId="5B2900C2" w14:textId="310BEEDF" w:rsidR="00D86988" w:rsidRPr="007E1156" w:rsidRDefault="00D86988" w:rsidP="00515648">
      <w:pPr>
        <w:pStyle w:val="FootnoteText"/>
        <w:rPr>
          <w:lang w:val="en-AU"/>
        </w:rPr>
      </w:pPr>
      <w:r>
        <w:rPr>
          <w:rStyle w:val="FootnoteReference"/>
        </w:rPr>
        <w:footnoteRef/>
      </w:r>
      <w:r>
        <w:t xml:space="preserve"> See, eg, Moore, above n </w:t>
      </w:r>
      <w:r>
        <w:fldChar w:fldCharType="begin"/>
      </w:r>
      <w:r>
        <w:instrText xml:space="preserve"> NOTEREF _Ref442031009 \h </w:instrText>
      </w:r>
      <w:r>
        <w:fldChar w:fldCharType="separate"/>
      </w:r>
      <w:r>
        <w:t>44</w:t>
      </w:r>
      <w:r>
        <w:fldChar w:fldCharType="end"/>
      </w:r>
      <w:r>
        <w:t>, 516.</w:t>
      </w:r>
    </w:p>
  </w:footnote>
  <w:footnote w:id="48">
    <w:p w14:paraId="262980C4" w14:textId="27DBC0AB" w:rsidR="00D86988" w:rsidRPr="001440C4" w:rsidRDefault="00D86988" w:rsidP="006460C9">
      <w:pPr>
        <w:pStyle w:val="FootnoteText"/>
      </w:pPr>
      <w:r w:rsidRPr="001440C4">
        <w:rPr>
          <w:rStyle w:val="FootnoteReference"/>
        </w:rPr>
        <w:footnoteRef/>
      </w:r>
      <w:r w:rsidRPr="001440C4">
        <w:t xml:space="preserve"> (1936) 54 CLR 657, 668</w:t>
      </w:r>
      <w:r>
        <w:t xml:space="preserve"> (Latham CJ), 683 (Dixon J) (‘</w:t>
      </w:r>
      <w:r w:rsidRPr="004B6576">
        <w:rPr>
          <w:i/>
        </w:rPr>
        <w:t>Elliott</w:t>
      </w:r>
      <w:r>
        <w:t>’)</w:t>
      </w:r>
      <w:r w:rsidRPr="001440C4">
        <w:t>.</w:t>
      </w:r>
    </w:p>
  </w:footnote>
  <w:footnote w:id="49">
    <w:p w14:paraId="1C4C7341" w14:textId="567D2D75" w:rsidR="00D86988" w:rsidRPr="00063E2C" w:rsidRDefault="00D86988" w:rsidP="006460C9">
      <w:pPr>
        <w:pStyle w:val="FootnoteText"/>
        <w:rPr>
          <w:lang w:val="en-AU"/>
        </w:rPr>
      </w:pPr>
      <w:r>
        <w:rPr>
          <w:rStyle w:val="FootnoteReference"/>
        </w:rPr>
        <w:footnoteRef/>
      </w:r>
      <w:r>
        <w:t xml:space="preserve"> Sawer, above n </w:t>
      </w:r>
      <w:r>
        <w:fldChar w:fldCharType="begin"/>
      </w:r>
      <w:r>
        <w:instrText xml:space="preserve"> NOTEREF _Ref444440163 \h </w:instrText>
      </w:r>
      <w:r>
        <w:fldChar w:fldCharType="separate"/>
      </w:r>
      <w:r>
        <w:t>8</w:t>
      </w:r>
      <w:r>
        <w:fldChar w:fldCharType="end"/>
      </w:r>
      <w:r>
        <w:t xml:space="preserve">, </w:t>
      </w:r>
      <w:r>
        <w:rPr>
          <w:lang w:val="en-AU"/>
        </w:rPr>
        <w:t>148.</w:t>
      </w:r>
    </w:p>
  </w:footnote>
  <w:footnote w:id="50">
    <w:p w14:paraId="62A4295E" w14:textId="66D2BF6C" w:rsidR="00D86988" w:rsidRPr="000C245A" w:rsidRDefault="00D86988" w:rsidP="0010311A">
      <w:pPr>
        <w:pStyle w:val="FootnoteText"/>
        <w:rPr>
          <w:lang w:val="en-AU"/>
        </w:rPr>
      </w:pPr>
      <w:r>
        <w:rPr>
          <w:rStyle w:val="FootnoteReference"/>
        </w:rPr>
        <w:footnoteRef/>
      </w:r>
      <w:r>
        <w:t xml:space="preserve"> </w:t>
      </w:r>
      <w:r>
        <w:rPr>
          <w:lang w:val="en-AU"/>
        </w:rPr>
        <w:t xml:space="preserve">Taxation laws are laws of revenue: </w:t>
      </w:r>
      <w:r w:rsidRPr="00272ED2">
        <w:rPr>
          <w:i/>
          <w:lang w:val="en-AU"/>
        </w:rPr>
        <w:t xml:space="preserve">Elliott </w:t>
      </w:r>
      <w:r w:rsidRPr="00272ED2">
        <w:rPr>
          <w:lang w:val="en-AU"/>
        </w:rPr>
        <w:t xml:space="preserve">(1936) 54 CLR 657, 668 (Latham CJ); </w:t>
      </w:r>
      <w:r w:rsidRPr="00272ED2">
        <w:rPr>
          <w:i/>
          <w:lang w:val="en-AU"/>
        </w:rPr>
        <w:t xml:space="preserve">Clyne </w:t>
      </w:r>
      <w:r w:rsidRPr="00272ED2">
        <w:rPr>
          <w:lang w:val="en-AU"/>
        </w:rPr>
        <w:t>(1958) 100 CLR 246, 268 (Dixon CJ)</w:t>
      </w:r>
      <w:r>
        <w:rPr>
          <w:lang w:val="en-AU"/>
        </w:rPr>
        <w:t>.</w:t>
      </w:r>
    </w:p>
  </w:footnote>
  <w:footnote w:id="51">
    <w:p w14:paraId="7AB3B73B" w14:textId="77777777" w:rsidR="00D86988" w:rsidRPr="00511382" w:rsidRDefault="00D86988" w:rsidP="002677F1">
      <w:pPr>
        <w:pStyle w:val="FootnoteText"/>
        <w:rPr>
          <w:lang w:val="en-AU"/>
        </w:rPr>
      </w:pPr>
      <w:r>
        <w:rPr>
          <w:rStyle w:val="FootnoteReference"/>
        </w:rPr>
        <w:footnoteRef/>
      </w:r>
      <w:r>
        <w:t xml:space="preserve"> </w:t>
      </w:r>
      <w:r>
        <w:rPr>
          <w:i/>
        </w:rPr>
        <w:t xml:space="preserve">Colonial Sugar Refining Co Ltd v Irving </w:t>
      </w:r>
      <w:r>
        <w:t xml:space="preserve">[1903] St R Q 261, 275-7 (Griffith CJ, Cooper J), 281 (Real J), [1906] AC 360, 364, 367-8; </w:t>
      </w:r>
      <w:r>
        <w:rPr>
          <w:i/>
          <w:lang w:val="en-AU"/>
        </w:rPr>
        <w:t xml:space="preserve">R v Barger </w:t>
      </w:r>
      <w:r>
        <w:rPr>
          <w:lang w:val="en-AU"/>
        </w:rPr>
        <w:t xml:space="preserve">(1908) 6 CLR 41, 78, 80 (Griffith CJ, Barton and O’Connor JJ), 107 (Isaacs J); </w:t>
      </w:r>
      <w:r>
        <w:rPr>
          <w:i/>
          <w:lang w:val="en-AU"/>
        </w:rPr>
        <w:t xml:space="preserve">Cameron v Deputy Federal Commissioner of Taxation (Tas) </w:t>
      </w:r>
      <w:r>
        <w:rPr>
          <w:lang w:val="en-AU"/>
        </w:rPr>
        <w:t>(1923) 32 CLR 68, 71 (Knox CJ), 79 (Rich and Starke JJ).</w:t>
      </w:r>
    </w:p>
  </w:footnote>
  <w:footnote w:id="52">
    <w:p w14:paraId="017C25C9" w14:textId="32D1D71A" w:rsidR="00D86988" w:rsidRPr="00FF6C0A" w:rsidRDefault="00D86988" w:rsidP="00CA120A">
      <w:pPr>
        <w:pStyle w:val="FootnoteText"/>
        <w:rPr>
          <w:lang w:val="en-AU"/>
        </w:rPr>
      </w:pPr>
      <w:r>
        <w:rPr>
          <w:rStyle w:val="FootnoteReference"/>
        </w:rPr>
        <w:footnoteRef/>
      </w:r>
      <w:r>
        <w:t xml:space="preserve"> (1936) 54 CLR 657, </w:t>
      </w:r>
      <w:r>
        <w:rPr>
          <w:lang w:val="en-AU"/>
        </w:rPr>
        <w:t>670.</w:t>
      </w:r>
    </w:p>
  </w:footnote>
  <w:footnote w:id="53">
    <w:p w14:paraId="12C24380" w14:textId="77777777" w:rsidR="00D86988" w:rsidRPr="00FF6C0A" w:rsidRDefault="00D86988" w:rsidP="00CA120A">
      <w:pPr>
        <w:pStyle w:val="FootnoteText"/>
        <w:rPr>
          <w:lang w:val="en-AU"/>
        </w:rPr>
      </w:pPr>
      <w:r>
        <w:rPr>
          <w:rStyle w:val="FootnoteReference"/>
        </w:rPr>
        <w:footnoteRef/>
      </w:r>
      <w:r>
        <w:t xml:space="preserve"> </w:t>
      </w:r>
      <w:r>
        <w:rPr>
          <w:lang w:val="en-AU"/>
        </w:rPr>
        <w:t>Ibid 683.</w:t>
      </w:r>
    </w:p>
  </w:footnote>
  <w:footnote w:id="54">
    <w:p w14:paraId="27F3053A" w14:textId="186567DD" w:rsidR="00D86988" w:rsidRPr="00075091" w:rsidRDefault="00D86988" w:rsidP="006460C9">
      <w:pPr>
        <w:pStyle w:val="FootnoteText"/>
        <w:rPr>
          <w:lang w:val="en-AU"/>
        </w:rPr>
      </w:pPr>
      <w:r>
        <w:rPr>
          <w:rStyle w:val="FootnoteReference"/>
        </w:rPr>
        <w:footnoteRef/>
      </w:r>
      <w:r>
        <w:t xml:space="preserve"> </w:t>
      </w:r>
      <w:r>
        <w:rPr>
          <w:lang w:val="en-AU"/>
        </w:rPr>
        <w:t xml:space="preserve">Quick and Garran, above n </w:t>
      </w:r>
      <w:r>
        <w:rPr>
          <w:lang w:val="en-AU"/>
        </w:rPr>
        <w:fldChar w:fldCharType="begin"/>
      </w:r>
      <w:r>
        <w:rPr>
          <w:lang w:val="en-AU"/>
        </w:rPr>
        <w:instrText xml:space="preserve"> NOTEREF _Ref442030115 \h </w:instrText>
      </w:r>
      <w:r>
        <w:rPr>
          <w:lang w:val="en-AU"/>
        </w:rPr>
      </w:r>
      <w:r>
        <w:rPr>
          <w:lang w:val="en-AU"/>
        </w:rPr>
        <w:fldChar w:fldCharType="separate"/>
      </w:r>
      <w:r>
        <w:rPr>
          <w:lang w:val="en-AU"/>
        </w:rPr>
        <w:t>43</w:t>
      </w:r>
      <w:r>
        <w:rPr>
          <w:lang w:val="en-AU"/>
        </w:rPr>
        <w:fldChar w:fldCharType="end"/>
      </w:r>
      <w:r>
        <w:rPr>
          <w:lang w:val="en-AU"/>
        </w:rPr>
        <w:t>, 877.</w:t>
      </w:r>
    </w:p>
  </w:footnote>
  <w:footnote w:id="55">
    <w:p w14:paraId="2A930FAE" w14:textId="77777777" w:rsidR="00D86988" w:rsidRPr="008C130E" w:rsidRDefault="00D86988" w:rsidP="006460C9">
      <w:pPr>
        <w:pStyle w:val="FootnoteText"/>
        <w:rPr>
          <w:lang w:val="en-AU"/>
        </w:rPr>
      </w:pPr>
      <w:r>
        <w:rPr>
          <w:rStyle w:val="FootnoteReference"/>
        </w:rPr>
        <w:footnoteRef/>
      </w:r>
      <w:r>
        <w:t xml:space="preserve"> </w:t>
      </w:r>
      <w:r>
        <w:rPr>
          <w:lang w:val="en-AU"/>
        </w:rPr>
        <w:t>Ibid 878 (emphasis added).</w:t>
      </w:r>
    </w:p>
  </w:footnote>
  <w:footnote w:id="56">
    <w:p w14:paraId="40E52DA7" w14:textId="577C8DEC" w:rsidR="00D86988" w:rsidRPr="00E75583" w:rsidRDefault="00D86988">
      <w:pPr>
        <w:pStyle w:val="FootnoteText"/>
        <w:rPr>
          <w:lang w:val="en-AU"/>
        </w:rPr>
      </w:pPr>
      <w:r>
        <w:rPr>
          <w:rStyle w:val="FootnoteReference"/>
        </w:rPr>
        <w:footnoteRef/>
      </w:r>
      <w:r>
        <w:t xml:space="preserve"> </w:t>
      </w:r>
      <w:r>
        <w:rPr>
          <w:i/>
          <w:lang w:val="en-AU"/>
        </w:rPr>
        <w:t xml:space="preserve">Cole v Whitfield </w:t>
      </w:r>
      <w:r>
        <w:rPr>
          <w:lang w:val="en-AU"/>
        </w:rPr>
        <w:t>(1988) 165 CLR 360, 395.</w:t>
      </w:r>
    </w:p>
  </w:footnote>
  <w:footnote w:id="57">
    <w:p w14:paraId="791840CF" w14:textId="67BFB232" w:rsidR="00D86988" w:rsidRPr="00E75583" w:rsidRDefault="00D86988">
      <w:pPr>
        <w:pStyle w:val="FootnoteText"/>
        <w:rPr>
          <w:lang w:val="en-AU"/>
        </w:rPr>
      </w:pPr>
      <w:r>
        <w:rPr>
          <w:rStyle w:val="FootnoteReference"/>
        </w:rPr>
        <w:footnoteRef/>
      </w:r>
      <w:r>
        <w:t xml:space="preserve"> </w:t>
      </w:r>
      <w:r>
        <w:rPr>
          <w:lang w:val="en-AU"/>
        </w:rPr>
        <w:t>Ibid 399.</w:t>
      </w:r>
    </w:p>
  </w:footnote>
  <w:footnote w:id="58">
    <w:p w14:paraId="09F93E09" w14:textId="1B1507B9" w:rsidR="00D86988" w:rsidRPr="00AC1FD3" w:rsidRDefault="00D86988">
      <w:pPr>
        <w:pStyle w:val="FootnoteText"/>
        <w:rPr>
          <w:lang w:val="en-AU"/>
        </w:rPr>
      </w:pPr>
      <w:r>
        <w:rPr>
          <w:rStyle w:val="FootnoteReference"/>
        </w:rPr>
        <w:footnoteRef/>
      </w:r>
      <w:r>
        <w:t xml:space="preserve"> </w:t>
      </w:r>
      <w:r>
        <w:rPr>
          <w:i/>
        </w:rPr>
        <w:t xml:space="preserve">Castlemaine Tooheys Ltd v South Australia </w:t>
      </w:r>
      <w:r>
        <w:t xml:space="preserve">(1990) 169 CLR 436, </w:t>
      </w:r>
      <w:r>
        <w:rPr>
          <w:lang w:val="en-AU"/>
        </w:rPr>
        <w:t xml:space="preserve">472, 477 (Mason CJ, Brennan, Deane, Dawson and Toohey JJ). See also </w:t>
      </w:r>
      <w:r>
        <w:rPr>
          <w:i/>
          <w:lang w:val="en-AU"/>
        </w:rPr>
        <w:t xml:space="preserve">Betfair Pty Ltd </w:t>
      </w:r>
      <w:proofErr w:type="gramStart"/>
      <w:r>
        <w:rPr>
          <w:i/>
          <w:lang w:val="en-AU"/>
        </w:rPr>
        <w:t>v</w:t>
      </w:r>
      <w:proofErr w:type="gramEnd"/>
      <w:r>
        <w:rPr>
          <w:i/>
          <w:lang w:val="en-AU"/>
        </w:rPr>
        <w:t xml:space="preserve"> Western Australia </w:t>
      </w:r>
      <w:r>
        <w:rPr>
          <w:lang w:val="en-AU"/>
        </w:rPr>
        <w:t>(2008) 234 CLR 418, 476-8 (Gleeson CJ, Gummow, Kirby, Hayne, Crennan, Kiefel JJ).</w:t>
      </w:r>
    </w:p>
  </w:footnote>
  <w:footnote w:id="59">
    <w:p w14:paraId="44678160" w14:textId="1972F491" w:rsidR="00D86988" w:rsidRPr="00321464" w:rsidRDefault="00D86988">
      <w:pPr>
        <w:pStyle w:val="FootnoteText"/>
        <w:rPr>
          <w:lang w:val="en-AU"/>
        </w:rPr>
      </w:pPr>
      <w:r>
        <w:rPr>
          <w:rStyle w:val="FootnoteReference"/>
        </w:rPr>
        <w:footnoteRef/>
      </w:r>
      <w:r>
        <w:t xml:space="preserve"> </w:t>
      </w:r>
      <w:r>
        <w:rPr>
          <w:lang w:val="en-AU"/>
        </w:rPr>
        <w:t>(1989) 168 CLR 461, 491-3 (Mason CJ), 511 (Brennan J), 528 (Deane J), 548 (Dawson J), 560 (Toohey J), 570-1 (Gaudron J), 582-4 (McHugh J).</w:t>
      </w:r>
    </w:p>
  </w:footnote>
  <w:footnote w:id="60">
    <w:p w14:paraId="1DBD9156" w14:textId="40456BF5" w:rsidR="00D86988" w:rsidRPr="00202133" w:rsidRDefault="00D86988" w:rsidP="006378E5">
      <w:pPr>
        <w:pStyle w:val="FootnoteText"/>
        <w:rPr>
          <w:lang w:val="en-AU"/>
        </w:rPr>
      </w:pPr>
      <w:r w:rsidRPr="004A1F12">
        <w:rPr>
          <w:rStyle w:val="FootnoteReference"/>
          <w:szCs w:val="20"/>
        </w:rPr>
        <w:footnoteRef/>
      </w:r>
      <w:r w:rsidRPr="004A1F12">
        <w:rPr>
          <w:szCs w:val="20"/>
        </w:rPr>
        <w:t xml:space="preserve"> </w:t>
      </w:r>
      <w:r w:rsidRPr="004A1F12">
        <w:rPr>
          <w:szCs w:val="20"/>
          <w:lang w:val="en-AU"/>
        </w:rPr>
        <w:t>(2004) 220 CLR 388,</w:t>
      </w:r>
      <w:r>
        <w:rPr>
          <w:lang w:val="en-AU"/>
        </w:rPr>
        <w:t xml:space="preserve"> 425 (Gleeson CJ, Gummow, Hayne, Callinan and Heydon JJ) (‘</w:t>
      </w:r>
      <w:r>
        <w:rPr>
          <w:i/>
          <w:lang w:val="en-AU"/>
        </w:rPr>
        <w:t>Permanent Trustee</w:t>
      </w:r>
      <w:r>
        <w:rPr>
          <w:lang w:val="en-AU"/>
        </w:rPr>
        <w:t>’).</w:t>
      </w:r>
    </w:p>
  </w:footnote>
  <w:footnote w:id="61">
    <w:p w14:paraId="2C8D5239" w14:textId="57F5B8C7" w:rsidR="00D86988" w:rsidRPr="00BC7FE3" w:rsidRDefault="00D86988" w:rsidP="00EE5508">
      <w:pPr>
        <w:pStyle w:val="FootnoteText"/>
        <w:rPr>
          <w:rFonts w:cs="Times New Roman"/>
          <w:szCs w:val="20"/>
          <w:lang w:val="en-AU"/>
        </w:rPr>
      </w:pPr>
      <w:r w:rsidRPr="00BC7FE3">
        <w:rPr>
          <w:rStyle w:val="FootnoteReference"/>
          <w:rFonts w:cs="Times New Roman"/>
          <w:szCs w:val="20"/>
        </w:rPr>
        <w:footnoteRef/>
      </w:r>
      <w:r w:rsidRPr="00BC7FE3">
        <w:rPr>
          <w:rFonts w:cs="Times New Roman"/>
          <w:szCs w:val="20"/>
        </w:rPr>
        <w:t xml:space="preserve"> Amelia Simpson, ‘The High Court’s Conception of Discrimination: Origins, Applications, and Implications’ (2007) 29 </w:t>
      </w:r>
      <w:r w:rsidRPr="00BC7FE3">
        <w:rPr>
          <w:rFonts w:cs="Times New Roman"/>
          <w:i/>
          <w:szCs w:val="20"/>
        </w:rPr>
        <w:t>Sydney Law Review</w:t>
      </w:r>
      <w:r w:rsidRPr="00BC7FE3">
        <w:rPr>
          <w:rFonts w:cs="Times New Roman"/>
          <w:szCs w:val="20"/>
        </w:rPr>
        <w:t xml:space="preserve"> 263, 264.</w:t>
      </w:r>
      <w:r>
        <w:rPr>
          <w:rFonts w:cs="Times New Roman"/>
          <w:szCs w:val="20"/>
        </w:rPr>
        <w:t xml:space="preserve"> See also Sawer, above </w:t>
      </w:r>
      <w:r>
        <w:t xml:space="preserve">n </w:t>
      </w:r>
      <w:r>
        <w:fldChar w:fldCharType="begin"/>
      </w:r>
      <w:r>
        <w:instrText xml:space="preserve"> NOTEREF _Ref444440163 \h </w:instrText>
      </w:r>
      <w:r>
        <w:fldChar w:fldCharType="separate"/>
      </w:r>
      <w:r>
        <w:t>8</w:t>
      </w:r>
      <w:r>
        <w:fldChar w:fldCharType="end"/>
      </w:r>
      <w:r>
        <w:t>,</w:t>
      </w:r>
      <w:r>
        <w:rPr>
          <w:rFonts w:cs="Times New Roman"/>
          <w:szCs w:val="20"/>
        </w:rPr>
        <w:t xml:space="preserve"> 147.</w:t>
      </w:r>
    </w:p>
  </w:footnote>
  <w:footnote w:id="62">
    <w:p w14:paraId="077D8368" w14:textId="6DAC914B" w:rsidR="00D86988" w:rsidRPr="00E9448B" w:rsidRDefault="00D86988">
      <w:pPr>
        <w:pStyle w:val="FootnoteText"/>
        <w:rPr>
          <w:lang w:val="en-AU"/>
        </w:rPr>
      </w:pPr>
      <w:r>
        <w:rPr>
          <w:rStyle w:val="FootnoteReference"/>
        </w:rPr>
        <w:footnoteRef/>
      </w:r>
      <w:r>
        <w:t xml:space="preserve"> </w:t>
      </w:r>
      <w:r>
        <w:rPr>
          <w:lang w:val="en-AU"/>
        </w:rPr>
        <w:t xml:space="preserve">Saunders, above n </w:t>
      </w:r>
      <w:r>
        <w:rPr>
          <w:lang w:val="en-AU"/>
        </w:rPr>
        <w:fldChar w:fldCharType="begin"/>
      </w:r>
      <w:r>
        <w:rPr>
          <w:lang w:val="en-AU"/>
        </w:rPr>
        <w:instrText xml:space="preserve"> NOTEREF _Ref444440163 \h </w:instrText>
      </w:r>
      <w:r>
        <w:rPr>
          <w:lang w:val="en-AU"/>
        </w:rPr>
      </w:r>
      <w:r>
        <w:rPr>
          <w:lang w:val="en-AU"/>
        </w:rPr>
        <w:fldChar w:fldCharType="separate"/>
      </w:r>
      <w:r>
        <w:rPr>
          <w:lang w:val="en-AU"/>
        </w:rPr>
        <w:t>8</w:t>
      </w:r>
      <w:r>
        <w:rPr>
          <w:lang w:val="en-AU"/>
        </w:rPr>
        <w:fldChar w:fldCharType="end"/>
      </w:r>
      <w:r>
        <w:rPr>
          <w:lang w:val="en-AU"/>
        </w:rPr>
        <w:t>, 215.</w:t>
      </w:r>
    </w:p>
  </w:footnote>
  <w:footnote w:id="63">
    <w:p w14:paraId="728E7A5A" w14:textId="4E62C534" w:rsidR="00D86988" w:rsidRPr="00A510BE" w:rsidRDefault="00D86988">
      <w:pPr>
        <w:pStyle w:val="FootnoteText"/>
        <w:rPr>
          <w:lang w:val="en-AU"/>
        </w:rPr>
      </w:pPr>
      <w:r>
        <w:rPr>
          <w:rStyle w:val="FootnoteReference"/>
        </w:rPr>
        <w:footnoteRef/>
      </w:r>
      <w:r>
        <w:t xml:space="preserve"> </w:t>
      </w:r>
      <w:r>
        <w:rPr>
          <w:lang w:val="en-AU"/>
        </w:rPr>
        <w:t xml:space="preserve">Melissa Castan and Sarah Joseph, </w:t>
      </w:r>
      <w:r>
        <w:rPr>
          <w:i/>
          <w:lang w:val="en-AU"/>
        </w:rPr>
        <w:t xml:space="preserve">Federal Constitutional Law </w:t>
      </w:r>
      <w:r>
        <w:rPr>
          <w:lang w:val="en-AU"/>
        </w:rPr>
        <w:t>(Lawbook, 2001) 370.</w:t>
      </w:r>
    </w:p>
  </w:footnote>
  <w:footnote w:id="64">
    <w:p w14:paraId="718FC4B4" w14:textId="64280293" w:rsidR="00D86988" w:rsidRPr="00ED1D4B" w:rsidRDefault="00D86988">
      <w:pPr>
        <w:pStyle w:val="FootnoteText"/>
        <w:rPr>
          <w:lang w:val="en-AU"/>
        </w:rPr>
      </w:pPr>
      <w:r>
        <w:rPr>
          <w:rStyle w:val="FootnoteReference"/>
        </w:rPr>
        <w:footnoteRef/>
      </w:r>
      <w:r>
        <w:t xml:space="preserve"> </w:t>
      </w:r>
      <w:r>
        <w:rPr>
          <w:lang w:val="en-AU"/>
        </w:rPr>
        <w:t xml:space="preserve">Saunders, above n </w:t>
      </w:r>
      <w:r>
        <w:rPr>
          <w:lang w:val="en-AU"/>
        </w:rPr>
        <w:fldChar w:fldCharType="begin"/>
      </w:r>
      <w:r>
        <w:rPr>
          <w:lang w:val="en-AU"/>
        </w:rPr>
        <w:instrText xml:space="preserve"> NOTEREF _Ref444440163 \h </w:instrText>
      </w:r>
      <w:r>
        <w:rPr>
          <w:lang w:val="en-AU"/>
        </w:rPr>
      </w:r>
      <w:r>
        <w:rPr>
          <w:lang w:val="en-AU"/>
        </w:rPr>
        <w:fldChar w:fldCharType="separate"/>
      </w:r>
      <w:r>
        <w:rPr>
          <w:lang w:val="en-AU"/>
        </w:rPr>
        <w:t>8</w:t>
      </w:r>
      <w:r>
        <w:rPr>
          <w:lang w:val="en-AU"/>
        </w:rPr>
        <w:fldChar w:fldCharType="end"/>
      </w:r>
      <w:r>
        <w:rPr>
          <w:lang w:val="en-AU"/>
        </w:rPr>
        <w:t>, 211.</w:t>
      </w:r>
    </w:p>
  </w:footnote>
  <w:footnote w:id="65">
    <w:p w14:paraId="00C0E1AD" w14:textId="2E0ECE5F" w:rsidR="00D86988" w:rsidRPr="00BC7FE3" w:rsidRDefault="00D86988" w:rsidP="00AE1802">
      <w:pPr>
        <w:pStyle w:val="FootnoteText"/>
        <w:rPr>
          <w:rFonts w:cs="Times New Roman"/>
          <w:szCs w:val="20"/>
          <w:lang w:val="en-AU"/>
        </w:rPr>
      </w:pPr>
      <w:r w:rsidRPr="00BC7FE3">
        <w:rPr>
          <w:rStyle w:val="FootnoteReference"/>
          <w:rFonts w:cs="Times New Roman"/>
          <w:szCs w:val="20"/>
        </w:rPr>
        <w:footnoteRef/>
      </w:r>
      <w:r w:rsidRPr="00BC7FE3">
        <w:rPr>
          <w:rFonts w:cs="Times New Roman"/>
          <w:szCs w:val="20"/>
        </w:rPr>
        <w:t xml:space="preserve"> </w:t>
      </w:r>
      <w:r>
        <w:rPr>
          <w:rFonts w:cs="Times New Roman"/>
          <w:szCs w:val="20"/>
        </w:rPr>
        <w:t xml:space="preserve">Gray, above n </w:t>
      </w:r>
      <w:r>
        <w:rPr>
          <w:rFonts w:cs="Times New Roman"/>
          <w:szCs w:val="20"/>
        </w:rPr>
        <w:fldChar w:fldCharType="begin"/>
      </w:r>
      <w:r>
        <w:rPr>
          <w:rFonts w:cs="Times New Roman"/>
          <w:szCs w:val="20"/>
        </w:rPr>
        <w:instrText xml:space="preserve"> NOTEREF _Ref449533718 \h </w:instrText>
      </w:r>
      <w:r>
        <w:rPr>
          <w:rFonts w:cs="Times New Roman"/>
          <w:szCs w:val="20"/>
        </w:rPr>
      </w:r>
      <w:r>
        <w:rPr>
          <w:rFonts w:cs="Times New Roman"/>
          <w:szCs w:val="20"/>
        </w:rPr>
        <w:fldChar w:fldCharType="separate"/>
      </w:r>
      <w:r>
        <w:rPr>
          <w:rFonts w:cs="Times New Roman"/>
          <w:szCs w:val="20"/>
        </w:rPr>
        <w:t>33</w:t>
      </w:r>
      <w:r>
        <w:rPr>
          <w:rFonts w:cs="Times New Roman"/>
          <w:szCs w:val="20"/>
        </w:rPr>
        <w:fldChar w:fldCharType="end"/>
      </w:r>
      <w:r w:rsidRPr="00BC7FE3">
        <w:rPr>
          <w:rFonts w:cs="Times New Roman"/>
          <w:szCs w:val="20"/>
        </w:rPr>
        <w:t>, 68.</w:t>
      </w:r>
    </w:p>
  </w:footnote>
  <w:footnote w:id="66">
    <w:p w14:paraId="1D098AA0" w14:textId="38892274" w:rsidR="00D86988" w:rsidRPr="00BC7FE3" w:rsidRDefault="00D86988" w:rsidP="003D689F">
      <w:pPr>
        <w:pStyle w:val="FootnoteText"/>
        <w:rPr>
          <w:rFonts w:cs="Times New Roman"/>
          <w:szCs w:val="20"/>
          <w:lang w:val="en-AU"/>
        </w:rPr>
      </w:pPr>
      <w:r w:rsidRPr="00BC7FE3">
        <w:rPr>
          <w:rStyle w:val="FootnoteReference"/>
          <w:rFonts w:cs="Times New Roman"/>
          <w:szCs w:val="20"/>
        </w:rPr>
        <w:footnoteRef/>
      </w:r>
      <w:r w:rsidRPr="00BC7FE3">
        <w:rPr>
          <w:rFonts w:cs="Times New Roman"/>
          <w:szCs w:val="20"/>
        </w:rPr>
        <w:t xml:space="preserve"> </w:t>
      </w:r>
      <w:r>
        <w:rPr>
          <w:rFonts w:cs="Times New Roman"/>
          <w:szCs w:val="20"/>
        </w:rPr>
        <w:t>(2013) 250 CLR 548, 594 (Hayne, Bell and Keane JJ)</w:t>
      </w:r>
      <w:r w:rsidRPr="00BC7FE3">
        <w:rPr>
          <w:rFonts w:cs="Times New Roman"/>
          <w:szCs w:val="20"/>
        </w:rPr>
        <w:t>.</w:t>
      </w:r>
    </w:p>
  </w:footnote>
  <w:footnote w:id="67">
    <w:p w14:paraId="1217CC4F" w14:textId="2585046F" w:rsidR="00D86988" w:rsidRPr="00BC7FE3" w:rsidRDefault="00D86988" w:rsidP="003D689F">
      <w:pPr>
        <w:pStyle w:val="FootnoteText"/>
        <w:rPr>
          <w:rFonts w:cs="Times New Roman"/>
          <w:szCs w:val="20"/>
          <w:lang w:val="en-AU"/>
        </w:rPr>
      </w:pPr>
      <w:r w:rsidRPr="00BC7FE3">
        <w:rPr>
          <w:rStyle w:val="FootnoteReference"/>
          <w:rFonts w:cs="Times New Roman"/>
          <w:szCs w:val="20"/>
        </w:rPr>
        <w:footnoteRef/>
      </w:r>
      <w:r w:rsidRPr="00BC7FE3">
        <w:rPr>
          <w:rFonts w:cs="Times New Roman"/>
          <w:szCs w:val="20"/>
        </w:rPr>
        <w:t xml:space="preserve"> </w:t>
      </w:r>
      <w:r>
        <w:rPr>
          <w:rFonts w:cs="Times New Roman"/>
          <w:szCs w:val="20"/>
        </w:rPr>
        <w:t>Ibid</w:t>
      </w:r>
      <w:r w:rsidRPr="00BC7FE3">
        <w:rPr>
          <w:rFonts w:cs="Times New Roman"/>
          <w:szCs w:val="20"/>
        </w:rPr>
        <w:t xml:space="preserve"> 567</w:t>
      </w:r>
      <w:r>
        <w:rPr>
          <w:rFonts w:cs="Times New Roman"/>
          <w:szCs w:val="20"/>
        </w:rPr>
        <w:t xml:space="preserve"> (French CJ)</w:t>
      </w:r>
      <w:r w:rsidRPr="00BC7FE3">
        <w:rPr>
          <w:rFonts w:cs="Times New Roman"/>
          <w:szCs w:val="20"/>
        </w:rPr>
        <w:t>.</w:t>
      </w:r>
      <w:r>
        <w:rPr>
          <w:rFonts w:cs="Times New Roman"/>
          <w:szCs w:val="20"/>
        </w:rPr>
        <w:t xml:space="preserve"> See also C I Menhennitt, ‘Freedom and Preference in Inter-State Trade’ in Justice Else-Mitchell, </w:t>
      </w:r>
      <w:r>
        <w:rPr>
          <w:rFonts w:cs="Times New Roman"/>
          <w:i/>
          <w:szCs w:val="20"/>
        </w:rPr>
        <w:t xml:space="preserve">Essays on the Australian Constitution </w:t>
      </w:r>
      <w:r>
        <w:rPr>
          <w:rFonts w:cs="Times New Roman"/>
          <w:szCs w:val="20"/>
        </w:rPr>
        <w:t>(Law Book, 2</w:t>
      </w:r>
      <w:r w:rsidRPr="004E10C4">
        <w:rPr>
          <w:rFonts w:cs="Times New Roman"/>
          <w:szCs w:val="20"/>
          <w:vertAlign w:val="superscript"/>
        </w:rPr>
        <w:t>nd</w:t>
      </w:r>
      <w:r>
        <w:rPr>
          <w:rFonts w:cs="Times New Roman"/>
          <w:szCs w:val="20"/>
        </w:rPr>
        <w:t xml:space="preserve"> ed, 1961) 275, 290. </w:t>
      </w:r>
    </w:p>
  </w:footnote>
  <w:footnote w:id="68">
    <w:p w14:paraId="4819F933" w14:textId="193B73E1" w:rsidR="00D86988" w:rsidRPr="00952382" w:rsidRDefault="00D86988">
      <w:pPr>
        <w:pStyle w:val="FootnoteText"/>
        <w:rPr>
          <w:lang w:val="en-AU"/>
        </w:rPr>
      </w:pPr>
      <w:r>
        <w:rPr>
          <w:rStyle w:val="FootnoteReference"/>
        </w:rPr>
        <w:footnoteRef/>
      </w:r>
      <w:r>
        <w:t xml:space="preserve"> </w:t>
      </w:r>
      <w:r>
        <w:rPr>
          <w:lang w:val="en-AU"/>
        </w:rPr>
        <w:t xml:space="preserve">Simpson, above n </w:t>
      </w:r>
      <w:r>
        <w:rPr>
          <w:lang w:val="en-AU"/>
        </w:rPr>
        <w:fldChar w:fldCharType="begin"/>
      </w:r>
      <w:r>
        <w:rPr>
          <w:lang w:val="en-AU"/>
        </w:rPr>
        <w:instrText xml:space="preserve"> NOTEREF _Ref445890184 \h </w:instrText>
      </w:r>
      <w:r>
        <w:rPr>
          <w:lang w:val="en-AU"/>
        </w:rPr>
      </w:r>
      <w:r>
        <w:rPr>
          <w:lang w:val="en-AU"/>
        </w:rPr>
        <w:fldChar w:fldCharType="separate"/>
      </w:r>
      <w:r>
        <w:rPr>
          <w:lang w:val="en-AU"/>
        </w:rPr>
        <w:t>5</w:t>
      </w:r>
      <w:r>
        <w:rPr>
          <w:lang w:val="en-AU"/>
        </w:rPr>
        <w:fldChar w:fldCharType="end"/>
      </w:r>
      <w:r>
        <w:rPr>
          <w:lang w:val="en-AU"/>
        </w:rPr>
        <w:t>, 95.</w:t>
      </w:r>
    </w:p>
  </w:footnote>
  <w:footnote w:id="69">
    <w:p w14:paraId="06706C98" w14:textId="15661E28" w:rsidR="00D86988" w:rsidRPr="00C44323" w:rsidRDefault="00D86988" w:rsidP="0087765F">
      <w:pPr>
        <w:pStyle w:val="FootnoteText"/>
        <w:rPr>
          <w:lang w:val="en-AU"/>
        </w:rPr>
      </w:pPr>
      <w:r>
        <w:rPr>
          <w:rStyle w:val="FootnoteReference"/>
        </w:rPr>
        <w:footnoteRef/>
      </w:r>
      <w:r>
        <w:t xml:space="preserve"> </w:t>
      </w:r>
      <w:r>
        <w:rPr>
          <w:lang w:val="en-AU"/>
        </w:rPr>
        <w:t>(1908) 6 CLR 41, 78-80 (‘</w:t>
      </w:r>
      <w:r>
        <w:rPr>
          <w:i/>
          <w:lang w:val="en-AU"/>
        </w:rPr>
        <w:t>Barger</w:t>
      </w:r>
      <w:r>
        <w:rPr>
          <w:lang w:val="en-AU"/>
        </w:rPr>
        <w:t>’).</w:t>
      </w:r>
    </w:p>
  </w:footnote>
  <w:footnote w:id="70">
    <w:p w14:paraId="7FCFC19F" w14:textId="4B74CFDB" w:rsidR="00D86988" w:rsidRPr="00810A6E" w:rsidRDefault="00D86988">
      <w:pPr>
        <w:pStyle w:val="FootnoteText"/>
        <w:rPr>
          <w:lang w:val="en-AU"/>
        </w:rPr>
      </w:pPr>
      <w:r>
        <w:rPr>
          <w:rStyle w:val="FootnoteReference"/>
        </w:rPr>
        <w:footnoteRef/>
      </w:r>
      <w:r>
        <w:t xml:space="preserve"> </w:t>
      </w:r>
      <w:r>
        <w:rPr>
          <w:lang w:val="en-AU"/>
        </w:rPr>
        <w:t xml:space="preserve">Ibid 108. </w:t>
      </w:r>
    </w:p>
  </w:footnote>
  <w:footnote w:id="71">
    <w:p w14:paraId="50330D37" w14:textId="261BF6D2" w:rsidR="00D86988" w:rsidRPr="00EC5984" w:rsidRDefault="00D86988">
      <w:pPr>
        <w:pStyle w:val="FootnoteText"/>
        <w:rPr>
          <w:lang w:val="en-AU"/>
        </w:rPr>
      </w:pPr>
      <w:r>
        <w:rPr>
          <w:rStyle w:val="FootnoteReference"/>
        </w:rPr>
        <w:footnoteRef/>
      </w:r>
      <w:r>
        <w:t xml:space="preserve"> </w:t>
      </w:r>
      <w:r>
        <w:rPr>
          <w:lang w:val="en-AU"/>
        </w:rPr>
        <w:t>Ibid.</w:t>
      </w:r>
    </w:p>
  </w:footnote>
  <w:footnote w:id="72">
    <w:p w14:paraId="29E6740F" w14:textId="30B89190" w:rsidR="00D86988" w:rsidRPr="00E11F53" w:rsidRDefault="00D86988" w:rsidP="00E62611">
      <w:pPr>
        <w:pStyle w:val="FootnoteText"/>
        <w:rPr>
          <w:lang w:val="en-AU"/>
        </w:rPr>
      </w:pPr>
      <w:r>
        <w:rPr>
          <w:rStyle w:val="FootnoteReference"/>
        </w:rPr>
        <w:footnoteRef/>
      </w:r>
      <w:r>
        <w:t xml:space="preserve"> </w:t>
      </w:r>
      <w:r>
        <w:rPr>
          <w:lang w:val="en-AU"/>
        </w:rPr>
        <w:t>Ibid 110 (emphasis added).</w:t>
      </w:r>
    </w:p>
  </w:footnote>
  <w:footnote w:id="73">
    <w:p w14:paraId="12D90DE6" w14:textId="2BD54B5A" w:rsidR="00D86988" w:rsidRPr="00E06E72" w:rsidRDefault="00D86988" w:rsidP="00CD275E">
      <w:pPr>
        <w:pStyle w:val="FootnoteText"/>
        <w:rPr>
          <w:lang w:val="en-AU"/>
        </w:rPr>
      </w:pPr>
      <w:r>
        <w:rPr>
          <w:rStyle w:val="FootnoteReference"/>
        </w:rPr>
        <w:footnoteRef/>
      </w:r>
      <w:r>
        <w:t xml:space="preserve"> Ibid 130-3.</w:t>
      </w:r>
    </w:p>
  </w:footnote>
  <w:footnote w:id="74">
    <w:p w14:paraId="038C3743" w14:textId="77777777" w:rsidR="00D86988" w:rsidRPr="002C2B21" w:rsidRDefault="00D86988" w:rsidP="0031505E">
      <w:pPr>
        <w:pStyle w:val="FootnoteText"/>
        <w:rPr>
          <w:lang w:val="en-AU"/>
        </w:rPr>
      </w:pPr>
      <w:r>
        <w:rPr>
          <w:rStyle w:val="FootnoteReference"/>
        </w:rPr>
        <w:footnoteRef/>
      </w:r>
      <w:r>
        <w:t xml:space="preserve"> </w:t>
      </w:r>
      <w:r>
        <w:rPr>
          <w:lang w:val="en-AU"/>
        </w:rPr>
        <w:t>Ibid 78.</w:t>
      </w:r>
    </w:p>
  </w:footnote>
  <w:footnote w:id="75">
    <w:p w14:paraId="0AE1069F" w14:textId="77777777" w:rsidR="00D86988" w:rsidRPr="002B4B53" w:rsidRDefault="00D86988" w:rsidP="0031505E">
      <w:pPr>
        <w:pStyle w:val="FootnoteText"/>
        <w:rPr>
          <w:lang w:val="en-AU"/>
        </w:rPr>
      </w:pPr>
      <w:r>
        <w:rPr>
          <w:rStyle w:val="FootnoteReference"/>
        </w:rPr>
        <w:footnoteRef/>
      </w:r>
      <w:r>
        <w:t xml:space="preserve"> </w:t>
      </w:r>
      <w:r>
        <w:rPr>
          <w:i/>
        </w:rPr>
        <w:t xml:space="preserve">Fortescue </w:t>
      </w:r>
      <w:r>
        <w:rPr>
          <w:lang w:val="en-AU"/>
        </w:rPr>
        <w:t xml:space="preserve">(2013) 250 CLR 548, 633 (Kiefel J). See </w:t>
      </w:r>
      <w:r w:rsidRPr="000322E1">
        <w:rPr>
          <w:i/>
        </w:rPr>
        <w:t>Amalgamated Society of Engineers v Adelaide Steamship Co Ltd</w:t>
      </w:r>
      <w:r>
        <w:rPr>
          <w:i/>
        </w:rPr>
        <w:t xml:space="preserve"> </w:t>
      </w:r>
      <w:r w:rsidRPr="000322E1">
        <w:t>(1920) 28 CLR 129</w:t>
      </w:r>
      <w:r>
        <w:t>.</w:t>
      </w:r>
    </w:p>
  </w:footnote>
  <w:footnote w:id="76">
    <w:p w14:paraId="374C1DA5" w14:textId="23FE29B4" w:rsidR="00D86988" w:rsidRPr="00D0228F" w:rsidRDefault="00D86988" w:rsidP="00AC0873">
      <w:pPr>
        <w:pStyle w:val="FootnoteText"/>
        <w:rPr>
          <w:lang w:val="en-AU"/>
        </w:rPr>
      </w:pPr>
      <w:r>
        <w:rPr>
          <w:rStyle w:val="FootnoteReference"/>
        </w:rPr>
        <w:footnoteRef/>
      </w:r>
      <w:r>
        <w:t xml:space="preserve"> </w:t>
      </w:r>
      <w:r>
        <w:rPr>
          <w:lang w:val="en-AU"/>
        </w:rPr>
        <w:t>Ibid 579 (French CJ); cf 595-6 (Hayne, Bell and Keane JJ), 633 (Kiefel J).</w:t>
      </w:r>
    </w:p>
  </w:footnote>
  <w:footnote w:id="77">
    <w:p w14:paraId="0F33FE9D" w14:textId="77777777" w:rsidR="00D86988" w:rsidRPr="00FA6E9C" w:rsidRDefault="00D86988" w:rsidP="00F1368A">
      <w:pPr>
        <w:pStyle w:val="FootnoteText"/>
        <w:rPr>
          <w:lang w:val="en-AU"/>
        </w:rPr>
      </w:pPr>
      <w:r>
        <w:rPr>
          <w:rStyle w:val="FootnoteReference"/>
        </w:rPr>
        <w:footnoteRef/>
      </w:r>
      <w:r>
        <w:t xml:space="preserve"> </w:t>
      </w:r>
      <w:r>
        <w:rPr>
          <w:lang w:val="en-AU"/>
        </w:rPr>
        <w:t>(1908) 6 CLR 41, 80 (emphasis added).</w:t>
      </w:r>
    </w:p>
  </w:footnote>
  <w:footnote w:id="78">
    <w:p w14:paraId="58BB8801" w14:textId="28FD77FD" w:rsidR="00D86988" w:rsidRPr="00B1787B" w:rsidRDefault="00D86988" w:rsidP="00F1368A">
      <w:pPr>
        <w:pStyle w:val="FootnoteText"/>
        <w:rPr>
          <w:lang w:val="en-AU"/>
        </w:rPr>
      </w:pPr>
      <w:r>
        <w:rPr>
          <w:rStyle w:val="FootnoteReference"/>
        </w:rPr>
        <w:footnoteRef/>
      </w:r>
      <w:r>
        <w:t xml:space="preserve"> </w:t>
      </w:r>
      <w:r w:rsidRPr="00B1787B">
        <w:rPr>
          <w:i/>
        </w:rPr>
        <w:t>Deputy Commissioner of Taxation (NSW)</w:t>
      </w:r>
      <w:r>
        <w:rPr>
          <w:i/>
        </w:rPr>
        <w:t xml:space="preserve"> v W R Moran Pty Ltd</w:t>
      </w:r>
      <w:r>
        <w:rPr>
          <w:lang w:val="en-AU"/>
        </w:rPr>
        <w:t xml:space="preserve"> (1939) 61 CLR 735, 758 (Latham CJ).</w:t>
      </w:r>
    </w:p>
  </w:footnote>
  <w:footnote w:id="79">
    <w:p w14:paraId="093ED083" w14:textId="22C60DD6" w:rsidR="00D86988" w:rsidRPr="009D58B6" w:rsidRDefault="00D86988" w:rsidP="00F1368A">
      <w:pPr>
        <w:pStyle w:val="FootnoteText"/>
        <w:rPr>
          <w:lang w:val="en-AU"/>
        </w:rPr>
      </w:pPr>
      <w:r>
        <w:rPr>
          <w:rStyle w:val="FootnoteReference"/>
        </w:rPr>
        <w:footnoteRef/>
      </w:r>
      <w:r>
        <w:t xml:space="preserve"> Sawer, above n </w:t>
      </w:r>
      <w:r>
        <w:fldChar w:fldCharType="begin"/>
      </w:r>
      <w:r>
        <w:instrText xml:space="preserve"> NOTEREF _Ref444440163 \h </w:instrText>
      </w:r>
      <w:r>
        <w:fldChar w:fldCharType="separate"/>
      </w:r>
      <w:r>
        <w:t>8</w:t>
      </w:r>
      <w:r>
        <w:fldChar w:fldCharType="end"/>
      </w:r>
      <w:r>
        <w:t>, 149.</w:t>
      </w:r>
    </w:p>
  </w:footnote>
  <w:footnote w:id="80">
    <w:p w14:paraId="49D1DB8D" w14:textId="1A02D6A3" w:rsidR="00D86988" w:rsidRPr="009D58B6" w:rsidRDefault="00D86988" w:rsidP="00F1368A">
      <w:pPr>
        <w:pStyle w:val="FootnoteText"/>
        <w:rPr>
          <w:lang w:val="en-AU"/>
        </w:rPr>
      </w:pPr>
      <w:r>
        <w:rPr>
          <w:rStyle w:val="FootnoteReference"/>
        </w:rPr>
        <w:footnoteRef/>
      </w:r>
      <w:r>
        <w:t xml:space="preserve"> </w:t>
      </w:r>
      <w:r>
        <w:rPr>
          <w:i/>
        </w:rPr>
        <w:t xml:space="preserve">Fortescue </w:t>
      </w:r>
      <w:r>
        <w:rPr>
          <w:lang w:val="en-AU"/>
        </w:rPr>
        <w:t>(2013) 250 CLR 548, 595-6, 633. These decisions are considered below.</w:t>
      </w:r>
    </w:p>
  </w:footnote>
  <w:footnote w:id="81">
    <w:p w14:paraId="49901F57" w14:textId="6A9996F7" w:rsidR="00D86988" w:rsidRPr="00F15D4E" w:rsidRDefault="00D86988" w:rsidP="009D66F5">
      <w:pPr>
        <w:pStyle w:val="FootnoteText"/>
        <w:rPr>
          <w:lang w:val="en-AU"/>
        </w:rPr>
      </w:pPr>
      <w:r>
        <w:rPr>
          <w:rStyle w:val="FootnoteReference"/>
        </w:rPr>
        <w:footnoteRef/>
      </w:r>
      <w:r>
        <w:t xml:space="preserve"> Sawer, above n </w:t>
      </w:r>
      <w:r>
        <w:fldChar w:fldCharType="begin"/>
      </w:r>
      <w:r>
        <w:instrText xml:space="preserve"> NOTEREF _Ref449554099 \h </w:instrText>
      </w:r>
      <w:r>
        <w:fldChar w:fldCharType="separate"/>
      </w:r>
      <w:r>
        <w:t>29</w:t>
      </w:r>
      <w:r>
        <w:fldChar w:fldCharType="end"/>
      </w:r>
      <w:r>
        <w:t>.</w:t>
      </w:r>
    </w:p>
  </w:footnote>
  <w:footnote w:id="82">
    <w:p w14:paraId="390F27A5" w14:textId="36AA5282" w:rsidR="00D86988" w:rsidRPr="000B1300" w:rsidRDefault="00D86988" w:rsidP="009D66F5">
      <w:pPr>
        <w:pStyle w:val="FootnoteText"/>
        <w:rPr>
          <w:lang w:val="en-AU"/>
        </w:rPr>
      </w:pPr>
      <w:r>
        <w:rPr>
          <w:rStyle w:val="FootnoteReference"/>
        </w:rPr>
        <w:footnoteRef/>
      </w:r>
      <w:r>
        <w:t xml:space="preserve"> Rose, above </w:t>
      </w:r>
      <w:r>
        <w:rPr>
          <w:lang w:val="en-AU"/>
        </w:rPr>
        <w:t xml:space="preserve">n </w:t>
      </w:r>
      <w:r>
        <w:rPr>
          <w:lang w:val="en-AU"/>
        </w:rPr>
        <w:fldChar w:fldCharType="begin"/>
      </w:r>
      <w:r>
        <w:rPr>
          <w:lang w:val="en-AU"/>
        </w:rPr>
        <w:instrText xml:space="preserve"> NOTEREF _Ref449533330 \h </w:instrText>
      </w:r>
      <w:r>
        <w:rPr>
          <w:lang w:val="en-AU"/>
        </w:rPr>
      </w:r>
      <w:r>
        <w:rPr>
          <w:lang w:val="en-AU"/>
        </w:rPr>
        <w:fldChar w:fldCharType="separate"/>
      </w:r>
      <w:r>
        <w:rPr>
          <w:lang w:val="en-AU"/>
        </w:rPr>
        <w:t>14</w:t>
      </w:r>
      <w:r>
        <w:rPr>
          <w:lang w:val="en-AU"/>
        </w:rPr>
        <w:fldChar w:fldCharType="end"/>
      </w:r>
      <w:r>
        <w:t>, 68.</w:t>
      </w:r>
    </w:p>
  </w:footnote>
  <w:footnote w:id="83">
    <w:p w14:paraId="7001B8A6" w14:textId="2EC48155" w:rsidR="00D86988" w:rsidRPr="001B25F3" w:rsidRDefault="00D86988" w:rsidP="003007C6">
      <w:pPr>
        <w:pStyle w:val="FootnoteText"/>
        <w:rPr>
          <w:lang w:val="en-AU"/>
        </w:rPr>
      </w:pPr>
      <w:r>
        <w:rPr>
          <w:rStyle w:val="FootnoteReference"/>
        </w:rPr>
        <w:footnoteRef/>
      </w:r>
      <w:r>
        <w:t xml:space="preserve"> Sawer, above n </w:t>
      </w:r>
      <w:r>
        <w:fldChar w:fldCharType="begin"/>
      </w:r>
      <w:r>
        <w:instrText xml:space="preserve"> NOTEREF _Ref444440163 \h </w:instrText>
      </w:r>
      <w:r>
        <w:fldChar w:fldCharType="separate"/>
      </w:r>
      <w:r>
        <w:t>8</w:t>
      </w:r>
      <w:r>
        <w:fldChar w:fldCharType="end"/>
      </w:r>
      <w:r>
        <w:t xml:space="preserve">, 147; cf, </w:t>
      </w:r>
      <w:r>
        <w:rPr>
          <w:lang w:val="en-AU"/>
        </w:rPr>
        <w:t xml:space="preserve">W Anstey Wynes, </w:t>
      </w:r>
      <w:r>
        <w:rPr>
          <w:i/>
          <w:lang w:val="en-AU"/>
        </w:rPr>
        <w:t xml:space="preserve">Legislative, Executive and Judicial Powers in Australia </w:t>
      </w:r>
      <w:r>
        <w:rPr>
          <w:lang w:val="en-AU"/>
        </w:rPr>
        <w:t>(Law Book, 4</w:t>
      </w:r>
      <w:r w:rsidRPr="00391E86">
        <w:rPr>
          <w:vertAlign w:val="superscript"/>
          <w:lang w:val="en-AU"/>
        </w:rPr>
        <w:t>th</w:t>
      </w:r>
      <w:r>
        <w:rPr>
          <w:lang w:val="en-AU"/>
        </w:rPr>
        <w:t xml:space="preserve"> ed, 1970)</w:t>
      </w:r>
      <w:r>
        <w:t xml:space="preserve"> 182.</w:t>
      </w:r>
    </w:p>
  </w:footnote>
  <w:footnote w:id="84">
    <w:p w14:paraId="0370F094" w14:textId="77777777" w:rsidR="00D86988" w:rsidRPr="008D66FB" w:rsidRDefault="00D86988" w:rsidP="00B2410C">
      <w:pPr>
        <w:pStyle w:val="FootnoteText"/>
        <w:rPr>
          <w:lang w:val="en-AU"/>
        </w:rPr>
      </w:pPr>
      <w:r>
        <w:rPr>
          <w:rStyle w:val="FootnoteReference"/>
        </w:rPr>
        <w:footnoteRef/>
      </w:r>
      <w:r>
        <w:t xml:space="preserve"> </w:t>
      </w:r>
      <w:r>
        <w:rPr>
          <w:lang w:val="en-AU"/>
        </w:rPr>
        <w:t>(1958) 100 CLR 246, 266.</w:t>
      </w:r>
    </w:p>
  </w:footnote>
  <w:footnote w:id="85">
    <w:p w14:paraId="4871A5C2" w14:textId="77777777" w:rsidR="00D86988" w:rsidRPr="00152C4B" w:rsidRDefault="00D86988" w:rsidP="004A0E80">
      <w:pPr>
        <w:pStyle w:val="FootnoteText"/>
        <w:rPr>
          <w:lang w:val="en-AU"/>
        </w:rPr>
      </w:pPr>
      <w:r>
        <w:rPr>
          <w:rStyle w:val="FootnoteReference"/>
        </w:rPr>
        <w:footnoteRef/>
      </w:r>
      <w:r>
        <w:t xml:space="preserve"> </w:t>
      </w:r>
      <w:r>
        <w:rPr>
          <w:lang w:val="en-AU"/>
        </w:rPr>
        <w:t xml:space="preserve">Anderson, above n </w:t>
      </w:r>
      <w:r>
        <w:rPr>
          <w:lang w:val="en-AU"/>
        </w:rPr>
        <w:fldChar w:fldCharType="begin"/>
      </w:r>
      <w:r>
        <w:rPr>
          <w:lang w:val="en-AU"/>
        </w:rPr>
        <w:instrText xml:space="preserve"> NOTEREF _Ref444440163 \h </w:instrText>
      </w:r>
      <w:r>
        <w:rPr>
          <w:lang w:val="en-AU"/>
        </w:rPr>
      </w:r>
      <w:r>
        <w:rPr>
          <w:lang w:val="en-AU"/>
        </w:rPr>
        <w:fldChar w:fldCharType="separate"/>
      </w:r>
      <w:r>
        <w:rPr>
          <w:lang w:val="en-AU"/>
        </w:rPr>
        <w:t>8</w:t>
      </w:r>
      <w:r>
        <w:rPr>
          <w:lang w:val="en-AU"/>
        </w:rPr>
        <w:fldChar w:fldCharType="end"/>
      </w:r>
      <w:r>
        <w:rPr>
          <w:lang w:val="en-AU"/>
        </w:rPr>
        <w:t>, 107.</w:t>
      </w:r>
    </w:p>
  </w:footnote>
  <w:footnote w:id="86">
    <w:p w14:paraId="4AF0E5DC" w14:textId="4EBD2215" w:rsidR="00D86988" w:rsidRPr="00EB0926" w:rsidRDefault="00D86988" w:rsidP="004A0E80">
      <w:pPr>
        <w:pStyle w:val="FootnoteText"/>
        <w:rPr>
          <w:lang w:val="en-AU"/>
        </w:rPr>
      </w:pPr>
      <w:r>
        <w:rPr>
          <w:rStyle w:val="FootnoteReference"/>
        </w:rPr>
        <w:footnoteRef/>
      </w:r>
      <w:r>
        <w:t xml:space="preserve"> Sawer, above n </w:t>
      </w:r>
      <w:r>
        <w:fldChar w:fldCharType="begin"/>
      </w:r>
      <w:r>
        <w:instrText xml:space="preserve"> NOTEREF _Ref444440163 \h </w:instrText>
      </w:r>
      <w:r>
        <w:fldChar w:fldCharType="separate"/>
      </w:r>
      <w:r>
        <w:t>8</w:t>
      </w:r>
      <w:r>
        <w:fldChar w:fldCharType="end"/>
      </w:r>
      <w:r>
        <w:t xml:space="preserve">, 147-8; </w:t>
      </w:r>
      <w:r>
        <w:rPr>
          <w:lang w:val="en-AU"/>
        </w:rPr>
        <w:t xml:space="preserve">Anderson, above n </w:t>
      </w:r>
      <w:r>
        <w:rPr>
          <w:lang w:val="en-AU"/>
        </w:rPr>
        <w:fldChar w:fldCharType="begin"/>
      </w:r>
      <w:r>
        <w:rPr>
          <w:lang w:val="en-AU"/>
        </w:rPr>
        <w:instrText xml:space="preserve"> NOTEREF _Ref444440163 \h </w:instrText>
      </w:r>
      <w:r>
        <w:rPr>
          <w:lang w:val="en-AU"/>
        </w:rPr>
      </w:r>
      <w:r>
        <w:rPr>
          <w:lang w:val="en-AU"/>
        </w:rPr>
        <w:fldChar w:fldCharType="separate"/>
      </w:r>
      <w:r>
        <w:rPr>
          <w:lang w:val="en-AU"/>
        </w:rPr>
        <w:t>8</w:t>
      </w:r>
      <w:r>
        <w:rPr>
          <w:lang w:val="en-AU"/>
        </w:rPr>
        <w:fldChar w:fldCharType="end"/>
      </w:r>
      <w:r>
        <w:rPr>
          <w:lang w:val="en-AU"/>
        </w:rPr>
        <w:t xml:space="preserve">, 107; Castan and Joseph, above n </w:t>
      </w:r>
      <w:r>
        <w:rPr>
          <w:lang w:val="en-AU"/>
        </w:rPr>
        <w:fldChar w:fldCharType="begin"/>
      </w:r>
      <w:r>
        <w:rPr>
          <w:lang w:val="en-AU"/>
        </w:rPr>
        <w:instrText xml:space="preserve"> NOTEREF _Ref445843111 \h </w:instrText>
      </w:r>
      <w:r>
        <w:rPr>
          <w:lang w:val="en-AU"/>
        </w:rPr>
      </w:r>
      <w:r>
        <w:rPr>
          <w:lang w:val="en-AU"/>
        </w:rPr>
        <w:fldChar w:fldCharType="separate"/>
      </w:r>
      <w:r>
        <w:rPr>
          <w:lang w:val="en-AU"/>
        </w:rPr>
        <w:t>63</w:t>
      </w:r>
      <w:r>
        <w:rPr>
          <w:lang w:val="en-AU"/>
        </w:rPr>
        <w:fldChar w:fldCharType="end"/>
      </w:r>
      <w:r>
        <w:rPr>
          <w:lang w:val="en-AU"/>
        </w:rPr>
        <w:t>, 368.</w:t>
      </w:r>
    </w:p>
  </w:footnote>
  <w:footnote w:id="87">
    <w:p w14:paraId="32EC2A71" w14:textId="558759DD" w:rsidR="00D86988" w:rsidRPr="00604273" w:rsidRDefault="00D86988">
      <w:pPr>
        <w:pStyle w:val="FootnoteText"/>
        <w:rPr>
          <w:lang w:val="en-AU"/>
        </w:rPr>
      </w:pPr>
      <w:r>
        <w:rPr>
          <w:rStyle w:val="FootnoteReference"/>
        </w:rPr>
        <w:footnoteRef/>
      </w:r>
      <w:r>
        <w:t xml:space="preserve"> </w:t>
      </w:r>
      <w:r>
        <w:rPr>
          <w:lang w:val="en-AU"/>
        </w:rPr>
        <w:t>(1923) 32 CLR 68, 72 (Knox CJ), 75-7 (Isaacs J), 78-9 (Higgins J), 79 (Rich J), 79-80 (Starke J) (‘</w:t>
      </w:r>
      <w:r>
        <w:rPr>
          <w:i/>
          <w:lang w:val="en-AU"/>
        </w:rPr>
        <w:t>Cameron</w:t>
      </w:r>
      <w:r>
        <w:rPr>
          <w:lang w:val="en-AU"/>
        </w:rPr>
        <w:t xml:space="preserve">’). Given its unique facts, </w:t>
      </w:r>
      <w:r>
        <w:rPr>
          <w:i/>
          <w:lang w:val="en-AU"/>
        </w:rPr>
        <w:t xml:space="preserve">Cameron </w:t>
      </w:r>
      <w:r>
        <w:rPr>
          <w:lang w:val="en-AU"/>
        </w:rPr>
        <w:t xml:space="preserve">provides </w:t>
      </w:r>
      <w:r>
        <w:t xml:space="preserve">‘an unusually clear example of s 51(ii) discrimination’: </w:t>
      </w:r>
      <w:r>
        <w:rPr>
          <w:i/>
        </w:rPr>
        <w:t xml:space="preserve">Fortescue </w:t>
      </w:r>
      <w:r>
        <w:t>(2013) 250 CLR 548, 632 (Kiefel J).</w:t>
      </w:r>
    </w:p>
  </w:footnote>
  <w:footnote w:id="88">
    <w:p w14:paraId="2FE160A1" w14:textId="77777777" w:rsidR="00D86988" w:rsidRPr="00326C35" w:rsidRDefault="00D86988" w:rsidP="00CE50A6">
      <w:pPr>
        <w:pStyle w:val="FootnoteText"/>
        <w:rPr>
          <w:lang w:val="en-AU"/>
        </w:rPr>
      </w:pPr>
      <w:r>
        <w:rPr>
          <w:rStyle w:val="FootnoteReference"/>
        </w:rPr>
        <w:footnoteRef/>
      </w:r>
      <w:r>
        <w:t xml:space="preserve"> </w:t>
      </w:r>
      <w:r>
        <w:rPr>
          <w:lang w:val="en-AU"/>
        </w:rPr>
        <w:t xml:space="preserve">Amelia Simpson, ‘The (Limited) Significance of the Individual in Section 117 State Residence Discrimination’ (2008) 32 </w:t>
      </w:r>
      <w:r>
        <w:rPr>
          <w:i/>
          <w:lang w:val="en-AU"/>
        </w:rPr>
        <w:t xml:space="preserve">Melbourne University Law Review </w:t>
      </w:r>
      <w:r>
        <w:rPr>
          <w:lang w:val="en-AU"/>
        </w:rPr>
        <w:t>639,</w:t>
      </w:r>
      <w:r>
        <w:t xml:space="preserve"> 656.</w:t>
      </w:r>
    </w:p>
  </w:footnote>
  <w:footnote w:id="89">
    <w:p w14:paraId="3AE09D53" w14:textId="77777777" w:rsidR="00D86988" w:rsidRPr="00D6614E" w:rsidRDefault="00D86988" w:rsidP="00EC03BF">
      <w:pPr>
        <w:pStyle w:val="FootnoteText"/>
        <w:rPr>
          <w:lang w:val="en-AU"/>
        </w:rPr>
      </w:pPr>
      <w:r>
        <w:rPr>
          <w:rStyle w:val="FootnoteReference"/>
        </w:rPr>
        <w:footnoteRef/>
      </w:r>
      <w:r>
        <w:t xml:space="preserve"> </w:t>
      </w:r>
      <w:r>
        <w:rPr>
          <w:lang w:val="en-AU"/>
        </w:rPr>
        <w:t xml:space="preserve">See </w:t>
      </w:r>
      <w:r>
        <w:rPr>
          <w:i/>
          <w:lang w:val="en-AU"/>
        </w:rPr>
        <w:t xml:space="preserve">Judiciary Act 1903 </w:t>
      </w:r>
      <w:r>
        <w:rPr>
          <w:lang w:val="en-AU"/>
        </w:rPr>
        <w:t>(Cth) s 23(2)(b).</w:t>
      </w:r>
    </w:p>
  </w:footnote>
  <w:footnote w:id="90">
    <w:p w14:paraId="41666EB5" w14:textId="5036ECDD" w:rsidR="00D86988" w:rsidRPr="006B62E6" w:rsidRDefault="00D86988" w:rsidP="00EC03BF">
      <w:pPr>
        <w:pStyle w:val="FootnoteText"/>
        <w:rPr>
          <w:lang w:val="en-AU"/>
        </w:rPr>
      </w:pPr>
      <w:r>
        <w:rPr>
          <w:rStyle w:val="FootnoteReference"/>
        </w:rPr>
        <w:footnoteRef/>
      </w:r>
      <w:r>
        <w:t xml:space="preserve"> </w:t>
      </w:r>
      <w:r>
        <w:rPr>
          <w:lang w:val="en-AU"/>
        </w:rPr>
        <w:t>(1968) 118 CLR 90, 95-6 (Barwick CJ), 96 (McTiernan J), 103 (Menzies J) (emphasis added) (‘</w:t>
      </w:r>
      <w:r>
        <w:rPr>
          <w:i/>
          <w:lang w:val="en-AU"/>
        </w:rPr>
        <w:t>Conroy</w:t>
      </w:r>
      <w:r>
        <w:rPr>
          <w:lang w:val="en-AU"/>
        </w:rPr>
        <w:t xml:space="preserve">’). </w:t>
      </w:r>
    </w:p>
  </w:footnote>
  <w:footnote w:id="91">
    <w:p w14:paraId="11B1E824" w14:textId="6AFAB4A5" w:rsidR="00D86988" w:rsidRPr="00EC75AA" w:rsidRDefault="00D86988" w:rsidP="00EC03BF">
      <w:pPr>
        <w:pStyle w:val="FootnoteText"/>
        <w:rPr>
          <w:lang w:val="en-AU"/>
        </w:rPr>
      </w:pPr>
      <w:r>
        <w:rPr>
          <w:rStyle w:val="FootnoteReference"/>
        </w:rPr>
        <w:footnoteRef/>
      </w:r>
      <w:r>
        <w:t xml:space="preserve"> (2013) 250 CLR 548, 635.</w:t>
      </w:r>
    </w:p>
  </w:footnote>
  <w:footnote w:id="92">
    <w:p w14:paraId="7B650259" w14:textId="4C66AD13" w:rsidR="00D86988" w:rsidRPr="00E66362" w:rsidRDefault="00D86988" w:rsidP="00A62274">
      <w:pPr>
        <w:pStyle w:val="FootnoteText"/>
        <w:rPr>
          <w:lang w:val="en-AU"/>
        </w:rPr>
      </w:pPr>
      <w:r>
        <w:rPr>
          <w:rStyle w:val="FootnoteReference"/>
        </w:rPr>
        <w:footnoteRef/>
      </w:r>
      <w:r>
        <w:t xml:space="preserve"> </w:t>
      </w:r>
      <w:r>
        <w:rPr>
          <w:lang w:val="en-AU"/>
        </w:rPr>
        <w:t>(1968) 118 CLR 90, 95-6 (Barwick CJ), 96 (McTiernan and Kitto JJ), 101-2 (Taylor J), 103 (Menzies J), 104 (Windeyer J).</w:t>
      </w:r>
    </w:p>
  </w:footnote>
  <w:footnote w:id="93">
    <w:p w14:paraId="6D1818ED" w14:textId="77777777" w:rsidR="00D86988" w:rsidRPr="00E66362" w:rsidRDefault="00D86988" w:rsidP="00A62274">
      <w:pPr>
        <w:pStyle w:val="FootnoteText"/>
        <w:rPr>
          <w:lang w:val="en-AU"/>
        </w:rPr>
      </w:pPr>
      <w:r>
        <w:rPr>
          <w:rStyle w:val="FootnoteReference"/>
        </w:rPr>
        <w:footnoteRef/>
      </w:r>
      <w:r>
        <w:t xml:space="preserve"> </w:t>
      </w:r>
      <w:r>
        <w:rPr>
          <w:lang w:val="en-AU"/>
        </w:rPr>
        <w:t>Ibid 103-4.</w:t>
      </w:r>
    </w:p>
  </w:footnote>
  <w:footnote w:id="94">
    <w:p w14:paraId="6630EA2C" w14:textId="0D8C93B6" w:rsidR="00D86988" w:rsidRPr="0032411C" w:rsidRDefault="00D86988">
      <w:pPr>
        <w:pStyle w:val="FootnoteText"/>
        <w:rPr>
          <w:lang w:val="en-AU"/>
        </w:rPr>
      </w:pPr>
      <w:r>
        <w:rPr>
          <w:rStyle w:val="FootnoteReference"/>
        </w:rPr>
        <w:footnoteRef/>
      </w:r>
      <w:r>
        <w:t xml:space="preserve"> </w:t>
      </w:r>
      <w:r>
        <w:rPr>
          <w:lang w:val="en-AU"/>
        </w:rPr>
        <w:t>Ibid 101-2.</w:t>
      </w:r>
    </w:p>
  </w:footnote>
  <w:footnote w:id="95">
    <w:p w14:paraId="2BBF660E" w14:textId="177A85D6" w:rsidR="00D86988" w:rsidRPr="00AB05B2" w:rsidRDefault="00D86988" w:rsidP="00873EC2">
      <w:pPr>
        <w:pStyle w:val="FootnoteText"/>
        <w:rPr>
          <w:lang w:val="en-AU"/>
        </w:rPr>
      </w:pPr>
      <w:r>
        <w:rPr>
          <w:rStyle w:val="FootnoteReference"/>
        </w:rPr>
        <w:footnoteRef/>
      </w:r>
      <w:r>
        <w:t xml:space="preserve"> </w:t>
      </w:r>
      <w:r>
        <w:rPr>
          <w:lang w:val="en-AU"/>
        </w:rPr>
        <w:t xml:space="preserve">Rose, above n </w:t>
      </w:r>
      <w:r>
        <w:rPr>
          <w:lang w:val="en-AU"/>
        </w:rPr>
        <w:fldChar w:fldCharType="begin"/>
      </w:r>
      <w:r>
        <w:rPr>
          <w:lang w:val="en-AU"/>
        </w:rPr>
        <w:instrText xml:space="preserve"> NOTEREF _Ref449533330 \h </w:instrText>
      </w:r>
      <w:r>
        <w:rPr>
          <w:lang w:val="en-AU"/>
        </w:rPr>
      </w:r>
      <w:r>
        <w:rPr>
          <w:lang w:val="en-AU"/>
        </w:rPr>
        <w:fldChar w:fldCharType="separate"/>
      </w:r>
      <w:r>
        <w:rPr>
          <w:lang w:val="en-AU"/>
        </w:rPr>
        <w:t>14</w:t>
      </w:r>
      <w:r>
        <w:rPr>
          <w:lang w:val="en-AU"/>
        </w:rPr>
        <w:fldChar w:fldCharType="end"/>
      </w:r>
      <w:r>
        <w:rPr>
          <w:lang w:val="en-AU"/>
        </w:rPr>
        <w:t>, 77.</w:t>
      </w:r>
    </w:p>
  </w:footnote>
  <w:footnote w:id="96">
    <w:p w14:paraId="7FF1A41C" w14:textId="77777777" w:rsidR="00D86988" w:rsidRPr="000A176A" w:rsidRDefault="00D86988" w:rsidP="00E55D7E">
      <w:pPr>
        <w:pStyle w:val="FootnoteText"/>
        <w:rPr>
          <w:lang w:val="en-AU"/>
        </w:rPr>
      </w:pPr>
      <w:r>
        <w:rPr>
          <w:rStyle w:val="FootnoteReference"/>
        </w:rPr>
        <w:footnoteRef/>
      </w:r>
      <w:r>
        <w:t xml:space="preserve"> </w:t>
      </w:r>
      <w:r>
        <w:rPr>
          <w:lang w:val="en-AU"/>
        </w:rPr>
        <w:t xml:space="preserve">Castan and Joseph, above n </w:t>
      </w:r>
      <w:r>
        <w:rPr>
          <w:lang w:val="en-AU"/>
        </w:rPr>
        <w:fldChar w:fldCharType="begin"/>
      </w:r>
      <w:r>
        <w:rPr>
          <w:lang w:val="en-AU"/>
        </w:rPr>
        <w:instrText xml:space="preserve"> NOTEREF _Ref445843111 \h </w:instrText>
      </w:r>
      <w:r>
        <w:rPr>
          <w:lang w:val="en-AU"/>
        </w:rPr>
      </w:r>
      <w:r>
        <w:rPr>
          <w:lang w:val="en-AU"/>
        </w:rPr>
        <w:fldChar w:fldCharType="separate"/>
      </w:r>
      <w:r>
        <w:rPr>
          <w:lang w:val="en-AU"/>
        </w:rPr>
        <w:t>63</w:t>
      </w:r>
      <w:r>
        <w:rPr>
          <w:lang w:val="en-AU"/>
        </w:rPr>
        <w:fldChar w:fldCharType="end"/>
      </w:r>
      <w:r>
        <w:rPr>
          <w:lang w:val="en-AU"/>
        </w:rPr>
        <w:t>, 370.</w:t>
      </w:r>
    </w:p>
  </w:footnote>
  <w:footnote w:id="97">
    <w:p w14:paraId="08A7C2E2" w14:textId="5DB451DD" w:rsidR="00D86988" w:rsidRPr="002E1DE1" w:rsidRDefault="00D86988" w:rsidP="0045420A">
      <w:pPr>
        <w:pStyle w:val="FootnoteText"/>
        <w:rPr>
          <w:lang w:val="en-AU"/>
        </w:rPr>
      </w:pPr>
      <w:r>
        <w:rPr>
          <w:rStyle w:val="FootnoteReference"/>
        </w:rPr>
        <w:footnoteRef/>
      </w:r>
      <w:r>
        <w:t xml:space="preserve"> </w:t>
      </w:r>
      <w:r>
        <w:rPr>
          <w:lang w:val="en-AU"/>
        </w:rPr>
        <w:t xml:space="preserve">Saunders, above n </w:t>
      </w:r>
      <w:r>
        <w:rPr>
          <w:lang w:val="en-AU"/>
        </w:rPr>
        <w:fldChar w:fldCharType="begin"/>
      </w:r>
      <w:r>
        <w:rPr>
          <w:lang w:val="en-AU"/>
        </w:rPr>
        <w:instrText xml:space="preserve"> NOTEREF _Ref444440163 \h </w:instrText>
      </w:r>
      <w:r>
        <w:rPr>
          <w:lang w:val="en-AU"/>
        </w:rPr>
      </w:r>
      <w:r>
        <w:rPr>
          <w:lang w:val="en-AU"/>
        </w:rPr>
        <w:fldChar w:fldCharType="separate"/>
      </w:r>
      <w:r>
        <w:rPr>
          <w:lang w:val="en-AU"/>
        </w:rPr>
        <w:t>8</w:t>
      </w:r>
      <w:r>
        <w:rPr>
          <w:lang w:val="en-AU"/>
        </w:rPr>
        <w:fldChar w:fldCharType="end"/>
      </w:r>
      <w:r>
        <w:rPr>
          <w:lang w:val="en-AU"/>
        </w:rPr>
        <w:t>, 217.</w:t>
      </w:r>
    </w:p>
  </w:footnote>
  <w:footnote w:id="98">
    <w:p w14:paraId="7EF4C49D" w14:textId="039A3039" w:rsidR="00D86988" w:rsidRPr="00DC6093" w:rsidRDefault="00D86988" w:rsidP="00DC6093">
      <w:pPr>
        <w:pStyle w:val="FootnoteText"/>
        <w:rPr>
          <w:lang w:val="en-AU"/>
        </w:rPr>
      </w:pPr>
      <w:r>
        <w:rPr>
          <w:rStyle w:val="FootnoteReference"/>
        </w:rPr>
        <w:footnoteRef/>
      </w:r>
      <w:r>
        <w:t xml:space="preserve"> </w:t>
      </w:r>
      <w:r>
        <w:rPr>
          <w:lang w:val="en-AU"/>
        </w:rPr>
        <w:t xml:space="preserve">Soon after the excise Tariff was passed, the Parliament also passed a customs Tariff, which imposed uniform duties of customs to satisfy s 88 of the </w:t>
      </w:r>
      <w:r>
        <w:rPr>
          <w:i/>
          <w:lang w:val="en-AU"/>
        </w:rPr>
        <w:t>Constitution</w:t>
      </w:r>
      <w:r>
        <w:rPr>
          <w:lang w:val="en-AU"/>
        </w:rPr>
        <w:t xml:space="preserve">. Both Tariffs were retrospectively deemed to commence on 8 October 1901, at which point state customs and excise duties legislation ceased to have effect pursuant to s 90 of the </w:t>
      </w:r>
      <w:r>
        <w:rPr>
          <w:i/>
          <w:lang w:val="en-AU"/>
        </w:rPr>
        <w:t>Constitution</w:t>
      </w:r>
      <w:r>
        <w:rPr>
          <w:lang w:val="en-AU"/>
        </w:rPr>
        <w:t>. Accordingly, the exemption only operated for the transitional/retrospective period.</w:t>
      </w:r>
    </w:p>
  </w:footnote>
  <w:footnote w:id="99">
    <w:p w14:paraId="3E0CCB12" w14:textId="071E1A9B" w:rsidR="00D86988" w:rsidRPr="003617C4" w:rsidRDefault="00D86988">
      <w:pPr>
        <w:pStyle w:val="FootnoteText"/>
        <w:rPr>
          <w:lang w:val="en-AU"/>
        </w:rPr>
      </w:pPr>
      <w:r>
        <w:rPr>
          <w:rStyle w:val="FootnoteReference"/>
        </w:rPr>
        <w:footnoteRef/>
      </w:r>
      <w:r>
        <w:t xml:space="preserve"> </w:t>
      </w:r>
      <w:r>
        <w:rPr>
          <w:lang w:val="en-AU"/>
        </w:rPr>
        <w:t>[1903] St R Qd 261, 276-277 (Griffith CJ), 277 (Cooper J), 281 (Real J) (‘</w:t>
      </w:r>
      <w:r>
        <w:rPr>
          <w:i/>
          <w:lang w:val="en-AU"/>
        </w:rPr>
        <w:t>Colonial</w:t>
      </w:r>
      <w:r>
        <w:rPr>
          <w:lang w:val="en-AU"/>
        </w:rPr>
        <w:t>’).</w:t>
      </w:r>
    </w:p>
  </w:footnote>
  <w:footnote w:id="100">
    <w:p w14:paraId="27274B7F" w14:textId="71846C02" w:rsidR="00D86988" w:rsidRPr="0092132D" w:rsidRDefault="00D86988">
      <w:pPr>
        <w:pStyle w:val="FootnoteText"/>
        <w:rPr>
          <w:lang w:val="en-AU"/>
        </w:rPr>
      </w:pPr>
      <w:r>
        <w:rPr>
          <w:rStyle w:val="FootnoteReference"/>
        </w:rPr>
        <w:footnoteRef/>
      </w:r>
      <w:r>
        <w:t xml:space="preserve"> Ibid 276.</w:t>
      </w:r>
    </w:p>
  </w:footnote>
  <w:footnote w:id="101">
    <w:p w14:paraId="26679AAA" w14:textId="685FF1E8" w:rsidR="00D86988" w:rsidRPr="0092132D" w:rsidRDefault="00D86988">
      <w:pPr>
        <w:pStyle w:val="FootnoteText"/>
        <w:rPr>
          <w:lang w:val="en-AU"/>
        </w:rPr>
      </w:pPr>
      <w:r>
        <w:rPr>
          <w:rStyle w:val="FootnoteReference"/>
        </w:rPr>
        <w:footnoteRef/>
      </w:r>
      <w:r>
        <w:t xml:space="preserve"> </w:t>
      </w:r>
      <w:r>
        <w:rPr>
          <w:lang w:val="en-AU"/>
        </w:rPr>
        <w:t>[1906] AC 360, 367-8 (emphasis added).</w:t>
      </w:r>
    </w:p>
  </w:footnote>
  <w:footnote w:id="102">
    <w:p w14:paraId="7B285F05" w14:textId="4221BFCD" w:rsidR="00D86988" w:rsidRPr="00385DFB" w:rsidRDefault="00D86988">
      <w:pPr>
        <w:pStyle w:val="FootnoteText"/>
        <w:rPr>
          <w:lang w:val="en-AU"/>
        </w:rPr>
      </w:pPr>
      <w:r>
        <w:rPr>
          <w:rStyle w:val="FootnoteReference"/>
        </w:rPr>
        <w:footnoteRef/>
      </w:r>
      <w:r>
        <w:t xml:space="preserve"> </w:t>
      </w:r>
      <w:r>
        <w:rPr>
          <w:lang w:val="en-AU"/>
        </w:rPr>
        <w:t>(1939) 61 CLR 735, 754-8 (Latham CJ), 767 (Rich J), 775 (Starke J), 809 (McTiernan J) (‘</w:t>
      </w:r>
      <w:r>
        <w:rPr>
          <w:i/>
          <w:lang w:val="en-AU"/>
        </w:rPr>
        <w:t>Moran</w:t>
      </w:r>
      <w:r>
        <w:rPr>
          <w:lang w:val="en-AU"/>
        </w:rPr>
        <w:t>’).</w:t>
      </w:r>
    </w:p>
  </w:footnote>
  <w:footnote w:id="103">
    <w:p w14:paraId="49E59C89" w14:textId="2D1F3660" w:rsidR="00D86988" w:rsidRPr="00840447" w:rsidRDefault="00D86988">
      <w:pPr>
        <w:pStyle w:val="FootnoteText"/>
        <w:rPr>
          <w:lang w:val="en-AU"/>
        </w:rPr>
      </w:pPr>
      <w:r>
        <w:rPr>
          <w:rStyle w:val="FootnoteReference"/>
        </w:rPr>
        <w:footnoteRef/>
      </w:r>
      <w:r>
        <w:t xml:space="preserve"> (1908) 6 CLR 41, 69-71 (Griffith CJ, Barton and O’Connor JJ); </w:t>
      </w:r>
      <w:r>
        <w:rPr>
          <w:lang w:val="en-AU"/>
        </w:rPr>
        <w:t xml:space="preserve">(1923) 32 CLR 68, 76-7 (Isaacs J). </w:t>
      </w:r>
    </w:p>
  </w:footnote>
  <w:footnote w:id="104">
    <w:p w14:paraId="2A645468" w14:textId="20F431A7" w:rsidR="00D86988" w:rsidRPr="00FC2ED4" w:rsidRDefault="00D86988">
      <w:pPr>
        <w:pStyle w:val="FootnoteText"/>
        <w:rPr>
          <w:lang w:val="en-AU"/>
        </w:rPr>
      </w:pPr>
      <w:r>
        <w:rPr>
          <w:rStyle w:val="FootnoteReference"/>
        </w:rPr>
        <w:footnoteRef/>
      </w:r>
      <w:r>
        <w:t xml:space="preserve"> </w:t>
      </w:r>
      <w:r>
        <w:rPr>
          <w:lang w:val="en-AU"/>
        </w:rPr>
        <w:t>(1939) 61 CLR 735, 760.</w:t>
      </w:r>
    </w:p>
  </w:footnote>
  <w:footnote w:id="105">
    <w:p w14:paraId="0D44C434" w14:textId="77777777" w:rsidR="00D86988" w:rsidRPr="00F16619" w:rsidRDefault="00D86988" w:rsidP="00FC2ED4">
      <w:pPr>
        <w:pStyle w:val="FootnoteText"/>
        <w:rPr>
          <w:lang w:val="en-AU"/>
        </w:rPr>
      </w:pPr>
      <w:r>
        <w:rPr>
          <w:rStyle w:val="FootnoteReference"/>
        </w:rPr>
        <w:footnoteRef/>
      </w:r>
      <w:r>
        <w:t xml:space="preserve"> </w:t>
      </w:r>
      <w:r>
        <w:rPr>
          <w:lang w:val="en-AU"/>
        </w:rPr>
        <w:t>Ibid 778.</w:t>
      </w:r>
    </w:p>
  </w:footnote>
  <w:footnote w:id="106">
    <w:p w14:paraId="661BD50B" w14:textId="421084F1" w:rsidR="00D86988" w:rsidRPr="001526A3" w:rsidRDefault="00D86988" w:rsidP="00A064D6">
      <w:pPr>
        <w:pStyle w:val="FootnoteText"/>
        <w:rPr>
          <w:lang w:val="en-AU"/>
        </w:rPr>
      </w:pPr>
      <w:r>
        <w:rPr>
          <w:rStyle w:val="FootnoteReference"/>
        </w:rPr>
        <w:footnoteRef/>
      </w:r>
      <w:r>
        <w:t xml:space="preserve"> </w:t>
      </w:r>
      <w:r>
        <w:rPr>
          <w:lang w:val="en-AU"/>
        </w:rPr>
        <w:t xml:space="preserve">Rose, above n </w:t>
      </w:r>
      <w:r>
        <w:rPr>
          <w:lang w:val="en-AU"/>
        </w:rPr>
        <w:fldChar w:fldCharType="begin"/>
      </w:r>
      <w:r>
        <w:rPr>
          <w:lang w:val="en-AU"/>
        </w:rPr>
        <w:instrText xml:space="preserve"> NOTEREF _Ref449533330 \h </w:instrText>
      </w:r>
      <w:r>
        <w:rPr>
          <w:lang w:val="en-AU"/>
        </w:rPr>
      </w:r>
      <w:r>
        <w:rPr>
          <w:lang w:val="en-AU"/>
        </w:rPr>
        <w:fldChar w:fldCharType="separate"/>
      </w:r>
      <w:r>
        <w:rPr>
          <w:lang w:val="en-AU"/>
        </w:rPr>
        <w:t>14</w:t>
      </w:r>
      <w:r>
        <w:rPr>
          <w:lang w:val="en-AU"/>
        </w:rPr>
        <w:fldChar w:fldCharType="end"/>
      </w:r>
      <w:r>
        <w:rPr>
          <w:lang w:val="en-AU"/>
        </w:rPr>
        <w:t xml:space="preserve">, 73. See also </w:t>
      </w:r>
      <w:r>
        <w:t xml:space="preserve">Wynes, above n </w:t>
      </w:r>
      <w:r>
        <w:fldChar w:fldCharType="begin"/>
      </w:r>
      <w:r>
        <w:instrText xml:space="preserve"> NOTEREF _Ref446070973 \h </w:instrText>
      </w:r>
      <w:r>
        <w:fldChar w:fldCharType="separate"/>
      </w:r>
      <w:r>
        <w:t>83</w:t>
      </w:r>
      <w:r>
        <w:fldChar w:fldCharType="end"/>
      </w:r>
      <w:r>
        <w:t xml:space="preserve">, </w:t>
      </w:r>
      <w:r>
        <w:rPr>
          <w:lang w:val="en-AU"/>
        </w:rPr>
        <w:t>184.</w:t>
      </w:r>
    </w:p>
  </w:footnote>
  <w:footnote w:id="107">
    <w:p w14:paraId="33F5E1C5" w14:textId="07C88968" w:rsidR="00D86988" w:rsidRPr="004557AB" w:rsidRDefault="00D86988">
      <w:pPr>
        <w:pStyle w:val="FootnoteText"/>
        <w:rPr>
          <w:lang w:val="en-AU"/>
        </w:rPr>
      </w:pPr>
      <w:r>
        <w:rPr>
          <w:rStyle w:val="FootnoteReference"/>
        </w:rPr>
        <w:footnoteRef/>
      </w:r>
      <w:r>
        <w:t xml:space="preserve"> </w:t>
      </w:r>
      <w:r>
        <w:rPr>
          <w:lang w:val="en-AU"/>
        </w:rPr>
        <w:t>[1940] AC 838, 849.</w:t>
      </w:r>
    </w:p>
  </w:footnote>
  <w:footnote w:id="108">
    <w:p w14:paraId="6DD08366" w14:textId="77777777" w:rsidR="00D86988" w:rsidRPr="000532C7" w:rsidRDefault="00D86988" w:rsidP="00E23353">
      <w:pPr>
        <w:pStyle w:val="FootnoteText"/>
        <w:rPr>
          <w:lang w:val="en-AU"/>
        </w:rPr>
      </w:pPr>
      <w:r>
        <w:rPr>
          <w:rStyle w:val="FootnoteReference"/>
        </w:rPr>
        <w:footnoteRef/>
      </w:r>
      <w:r>
        <w:t xml:space="preserve"> </w:t>
      </w:r>
      <w:r>
        <w:rPr>
          <w:lang w:val="en-AU"/>
        </w:rPr>
        <w:t>Ibid 858-9 (emphasis added).</w:t>
      </w:r>
    </w:p>
  </w:footnote>
  <w:footnote w:id="109">
    <w:p w14:paraId="0B2ED94E" w14:textId="6488F4DB" w:rsidR="00D86988" w:rsidRPr="008F62B5" w:rsidRDefault="00D86988" w:rsidP="001B7AA9">
      <w:pPr>
        <w:pStyle w:val="FootnoteText"/>
        <w:rPr>
          <w:lang w:val="en-AU"/>
        </w:rPr>
      </w:pPr>
      <w:r>
        <w:rPr>
          <w:rStyle w:val="FootnoteReference"/>
        </w:rPr>
        <w:footnoteRef/>
      </w:r>
      <w:r>
        <w:t xml:space="preserve"> </w:t>
      </w:r>
      <w:r>
        <w:rPr>
          <w:lang w:val="en-AU"/>
        </w:rPr>
        <w:t>(2013) 250 CLR 548, 602-603 (Hayne, Bell and Keane JJ), 619 (Crennan J), 635-6 (Kiefel J).</w:t>
      </w:r>
    </w:p>
  </w:footnote>
  <w:footnote w:id="110">
    <w:p w14:paraId="739AFE56" w14:textId="63A84656" w:rsidR="00D86988" w:rsidRPr="00BD7CFB" w:rsidRDefault="00D86988" w:rsidP="001B7AA9">
      <w:pPr>
        <w:pStyle w:val="FootnoteText"/>
        <w:rPr>
          <w:lang w:val="en-AU"/>
        </w:rPr>
      </w:pPr>
      <w:r>
        <w:rPr>
          <w:rStyle w:val="FootnoteReference"/>
        </w:rPr>
        <w:footnoteRef/>
      </w:r>
      <w:r>
        <w:t xml:space="preserve"> </w:t>
      </w:r>
      <w:r>
        <w:rPr>
          <w:lang w:val="en-AU"/>
        </w:rPr>
        <w:t xml:space="preserve">Ibid 604 (emphasis added). </w:t>
      </w:r>
    </w:p>
  </w:footnote>
  <w:footnote w:id="111">
    <w:p w14:paraId="03FE566C" w14:textId="4D714148" w:rsidR="00D86988" w:rsidRPr="00595FA8" w:rsidRDefault="00D86988">
      <w:pPr>
        <w:pStyle w:val="FootnoteText"/>
        <w:rPr>
          <w:lang w:val="en-AU"/>
        </w:rPr>
      </w:pPr>
      <w:r>
        <w:rPr>
          <w:rStyle w:val="FootnoteReference"/>
        </w:rPr>
        <w:footnoteRef/>
      </w:r>
      <w:r>
        <w:t xml:space="preserve"> </w:t>
      </w:r>
      <w:r>
        <w:rPr>
          <w:lang w:val="en-AU"/>
        </w:rPr>
        <w:t>See Part IV.</w:t>
      </w:r>
    </w:p>
  </w:footnote>
  <w:footnote w:id="112">
    <w:p w14:paraId="4B0A2F7A" w14:textId="77777777" w:rsidR="00D86988" w:rsidRPr="00FF21F0" w:rsidRDefault="00D86988" w:rsidP="00CD32A1">
      <w:pPr>
        <w:pStyle w:val="FootnoteText"/>
        <w:rPr>
          <w:lang w:val="en-AU"/>
        </w:rPr>
      </w:pPr>
      <w:r>
        <w:rPr>
          <w:rStyle w:val="FootnoteReference"/>
        </w:rPr>
        <w:footnoteRef/>
      </w:r>
      <w:r>
        <w:t xml:space="preserve"> </w:t>
      </w:r>
      <w:r>
        <w:rPr>
          <w:lang w:val="en-AU"/>
        </w:rPr>
        <w:t xml:space="preserve">Simpson, above n </w:t>
      </w:r>
      <w:r>
        <w:rPr>
          <w:lang w:val="en-AU"/>
        </w:rPr>
        <w:fldChar w:fldCharType="begin"/>
      </w:r>
      <w:r>
        <w:rPr>
          <w:lang w:val="en-AU"/>
        </w:rPr>
        <w:instrText xml:space="preserve"> NOTEREF _Ref445890184 \h </w:instrText>
      </w:r>
      <w:r>
        <w:rPr>
          <w:lang w:val="en-AU"/>
        </w:rPr>
      </w:r>
      <w:r>
        <w:rPr>
          <w:lang w:val="en-AU"/>
        </w:rPr>
        <w:fldChar w:fldCharType="separate"/>
      </w:r>
      <w:r>
        <w:rPr>
          <w:lang w:val="en-AU"/>
        </w:rPr>
        <w:t>5</w:t>
      </w:r>
      <w:r>
        <w:rPr>
          <w:lang w:val="en-AU"/>
        </w:rPr>
        <w:fldChar w:fldCharType="end"/>
      </w:r>
      <w:r>
        <w:rPr>
          <w:lang w:val="en-AU"/>
        </w:rPr>
        <w:t>, 95-6.</w:t>
      </w:r>
    </w:p>
  </w:footnote>
  <w:footnote w:id="113">
    <w:p w14:paraId="60CC274C" w14:textId="1516F274" w:rsidR="00D86988" w:rsidRPr="00B84F75" w:rsidRDefault="00D86988" w:rsidP="00CD32A1">
      <w:pPr>
        <w:pStyle w:val="FootnoteText"/>
        <w:rPr>
          <w:lang w:val="en-AU"/>
        </w:rPr>
      </w:pPr>
      <w:r>
        <w:rPr>
          <w:rStyle w:val="FootnoteReference"/>
        </w:rPr>
        <w:footnoteRef/>
      </w:r>
      <w:r>
        <w:t xml:space="preserve"> See also</w:t>
      </w:r>
      <w:r>
        <w:rPr>
          <w:lang w:val="en-AU"/>
        </w:rPr>
        <w:t xml:space="preserve"> (2013) 250 CLR 548, 603-4.</w:t>
      </w:r>
    </w:p>
  </w:footnote>
  <w:footnote w:id="114">
    <w:p w14:paraId="130C6F7F" w14:textId="3C1C61CA" w:rsidR="00D86988" w:rsidRPr="00293375" w:rsidRDefault="00D86988" w:rsidP="00CD32A1">
      <w:pPr>
        <w:pStyle w:val="FootnoteText"/>
        <w:rPr>
          <w:lang w:val="en-AU"/>
        </w:rPr>
      </w:pPr>
      <w:r>
        <w:rPr>
          <w:rStyle w:val="FootnoteReference"/>
        </w:rPr>
        <w:footnoteRef/>
      </w:r>
      <w:r>
        <w:t xml:space="preserve"> </w:t>
      </w:r>
      <w:r>
        <w:rPr>
          <w:i/>
          <w:lang w:val="en-AU"/>
        </w:rPr>
        <w:t>Official Report of the National Australasian Convention Debates</w:t>
      </w:r>
      <w:r>
        <w:rPr>
          <w:lang w:val="en-AU"/>
        </w:rPr>
        <w:t>, Sydney, 3 April 1891,</w:t>
      </w:r>
      <w:r>
        <w:t xml:space="preserve"> 676-7. See also </w:t>
      </w:r>
      <w:r>
        <w:rPr>
          <w:lang w:val="en-AU"/>
        </w:rPr>
        <w:t xml:space="preserve">Anderson, above n </w:t>
      </w:r>
      <w:r>
        <w:rPr>
          <w:lang w:val="en-AU"/>
        </w:rPr>
        <w:fldChar w:fldCharType="begin"/>
      </w:r>
      <w:r>
        <w:rPr>
          <w:lang w:val="en-AU"/>
        </w:rPr>
        <w:instrText xml:space="preserve"> NOTEREF _Ref444440163 \h </w:instrText>
      </w:r>
      <w:r>
        <w:rPr>
          <w:lang w:val="en-AU"/>
        </w:rPr>
      </w:r>
      <w:r>
        <w:rPr>
          <w:lang w:val="en-AU"/>
        </w:rPr>
        <w:fldChar w:fldCharType="separate"/>
      </w:r>
      <w:r>
        <w:rPr>
          <w:lang w:val="en-AU"/>
        </w:rPr>
        <w:t>8</w:t>
      </w:r>
      <w:r>
        <w:rPr>
          <w:lang w:val="en-AU"/>
        </w:rPr>
        <w:fldChar w:fldCharType="end"/>
      </w:r>
      <w:r>
        <w:rPr>
          <w:lang w:val="en-AU"/>
        </w:rPr>
        <w:t>, 107.</w:t>
      </w:r>
    </w:p>
  </w:footnote>
  <w:footnote w:id="115">
    <w:p w14:paraId="5F1E094A" w14:textId="053ED6FD" w:rsidR="00D86988" w:rsidRPr="00373C09" w:rsidRDefault="00D86988" w:rsidP="00CD32A1">
      <w:pPr>
        <w:pStyle w:val="FootnoteText"/>
        <w:rPr>
          <w:lang w:val="en-AU"/>
        </w:rPr>
      </w:pPr>
      <w:r>
        <w:rPr>
          <w:rStyle w:val="FootnoteReference"/>
        </w:rPr>
        <w:footnoteRef/>
      </w:r>
      <w:r>
        <w:t xml:space="preserve"> </w:t>
      </w:r>
      <w:r>
        <w:rPr>
          <w:lang w:val="en-AU"/>
        </w:rPr>
        <w:t xml:space="preserve">Quick and Garran, above n </w:t>
      </w:r>
      <w:r>
        <w:rPr>
          <w:lang w:val="en-AU"/>
        </w:rPr>
        <w:fldChar w:fldCharType="begin"/>
      </w:r>
      <w:r>
        <w:rPr>
          <w:lang w:val="en-AU"/>
        </w:rPr>
        <w:instrText xml:space="preserve"> NOTEREF _Ref442030115 \h </w:instrText>
      </w:r>
      <w:r>
        <w:rPr>
          <w:lang w:val="en-AU"/>
        </w:rPr>
      </w:r>
      <w:r>
        <w:rPr>
          <w:lang w:val="en-AU"/>
        </w:rPr>
        <w:fldChar w:fldCharType="separate"/>
      </w:r>
      <w:r>
        <w:rPr>
          <w:lang w:val="en-AU"/>
        </w:rPr>
        <w:t>43</w:t>
      </w:r>
      <w:r>
        <w:rPr>
          <w:lang w:val="en-AU"/>
        </w:rPr>
        <w:fldChar w:fldCharType="end"/>
      </w:r>
      <w:r>
        <w:rPr>
          <w:lang w:val="en-AU"/>
        </w:rPr>
        <w:t>, 549.</w:t>
      </w:r>
    </w:p>
  </w:footnote>
  <w:footnote w:id="116">
    <w:p w14:paraId="1E5757E4" w14:textId="77777777" w:rsidR="00D86988" w:rsidRPr="00FD0A4D" w:rsidRDefault="00D86988" w:rsidP="00CD32A1">
      <w:pPr>
        <w:pStyle w:val="FootnoteText"/>
        <w:rPr>
          <w:lang w:val="en-AU"/>
        </w:rPr>
      </w:pPr>
      <w:r>
        <w:rPr>
          <w:rStyle w:val="FootnoteReference"/>
        </w:rPr>
        <w:footnoteRef/>
      </w:r>
      <w:r>
        <w:t xml:space="preserve"> (1992) 174 CLR 455, 485.</w:t>
      </w:r>
    </w:p>
  </w:footnote>
  <w:footnote w:id="117">
    <w:p w14:paraId="17D390E9" w14:textId="77777777" w:rsidR="00D86988" w:rsidRPr="00574AB7" w:rsidRDefault="00D86988" w:rsidP="00CD32A1">
      <w:pPr>
        <w:pStyle w:val="FootnoteText"/>
        <w:rPr>
          <w:lang w:val="en-AU"/>
        </w:rPr>
      </w:pPr>
      <w:r>
        <w:rPr>
          <w:rStyle w:val="FootnoteReference"/>
        </w:rPr>
        <w:footnoteRef/>
      </w:r>
      <w:r>
        <w:t xml:space="preserve"> </w:t>
      </w:r>
      <w:r>
        <w:rPr>
          <w:lang w:val="en-AU"/>
        </w:rPr>
        <w:t>(2013) 250 CLR 548, 585 (emphasis added).</w:t>
      </w:r>
    </w:p>
  </w:footnote>
  <w:footnote w:id="118">
    <w:p w14:paraId="2A6AEE46" w14:textId="77777777" w:rsidR="00D86988" w:rsidRPr="00574AB7" w:rsidRDefault="00D86988" w:rsidP="00CD32A1">
      <w:pPr>
        <w:pStyle w:val="FootnoteText"/>
        <w:rPr>
          <w:lang w:val="en-AU"/>
        </w:rPr>
      </w:pPr>
      <w:r>
        <w:rPr>
          <w:rStyle w:val="FootnoteReference"/>
        </w:rPr>
        <w:footnoteRef/>
      </w:r>
      <w:r>
        <w:t xml:space="preserve"> </w:t>
      </w:r>
      <w:r>
        <w:rPr>
          <w:lang w:val="en-AU"/>
        </w:rPr>
        <w:t>Ibid 619 (emphasis added).</w:t>
      </w:r>
    </w:p>
  </w:footnote>
  <w:footnote w:id="119">
    <w:p w14:paraId="6343ACAC" w14:textId="2012E8AF" w:rsidR="00D86988" w:rsidRPr="000E0CC2" w:rsidRDefault="00D86988" w:rsidP="00CD32A1">
      <w:pPr>
        <w:pStyle w:val="FootnoteText"/>
        <w:rPr>
          <w:lang w:val="en-AU"/>
        </w:rPr>
      </w:pPr>
      <w:r>
        <w:rPr>
          <w:rStyle w:val="FootnoteReference"/>
        </w:rPr>
        <w:footnoteRef/>
      </w:r>
      <w:r>
        <w:t xml:space="preserve"> </w:t>
      </w:r>
      <w:r>
        <w:rPr>
          <w:i/>
        </w:rPr>
        <w:t xml:space="preserve">Income Tax Assessment Act 1997 </w:t>
      </w:r>
      <w:r>
        <w:t xml:space="preserve">(Cth) s 9-1. Notional </w:t>
      </w:r>
      <w:r>
        <w:rPr>
          <w:lang w:val="en-AU"/>
        </w:rPr>
        <w:t xml:space="preserve">income tax is imposed on specified state instrumentalities, but only pursuant to the National Tax Equivalent Regime agreement between the Commonwealth and the states: Australian Taxation Office, </w:t>
      </w:r>
      <w:r w:rsidRPr="00944A00">
        <w:rPr>
          <w:i/>
          <w:lang w:val="en-AU"/>
        </w:rPr>
        <w:t>Manual for the National Tax Equivalent Regime</w:t>
      </w:r>
      <w:r>
        <w:rPr>
          <w:lang w:val="en-AU"/>
        </w:rPr>
        <w:t xml:space="preserve"> (9</w:t>
      </w:r>
      <w:r w:rsidRPr="004A2ED5">
        <w:rPr>
          <w:vertAlign w:val="superscript"/>
          <w:lang w:val="en-AU"/>
        </w:rPr>
        <w:t>th</w:t>
      </w:r>
      <w:r>
        <w:rPr>
          <w:lang w:val="en-AU"/>
        </w:rPr>
        <w:t xml:space="preserve"> ed, April 2014) [6], [13]. </w:t>
      </w:r>
    </w:p>
  </w:footnote>
  <w:footnote w:id="120">
    <w:p w14:paraId="364439FF" w14:textId="31888F85" w:rsidR="00D86988" w:rsidRPr="0031751F" w:rsidRDefault="00D86988" w:rsidP="00CD32A1">
      <w:pPr>
        <w:pStyle w:val="FootnoteText"/>
        <w:rPr>
          <w:lang w:val="en-AU"/>
        </w:rPr>
      </w:pPr>
      <w:r>
        <w:rPr>
          <w:rStyle w:val="FootnoteReference"/>
        </w:rPr>
        <w:footnoteRef/>
      </w:r>
      <w:r>
        <w:t xml:space="preserve"> </w:t>
      </w:r>
      <w:r>
        <w:rPr>
          <w:lang w:val="en-AU"/>
        </w:rPr>
        <w:t xml:space="preserve">The states did invoke the section 51(ii) discrimination prohibition when they challenged the wartime uniform income tax legislation on various grounds, but that challenge was unsuccessful and the High Court gave the section 51(ii) arguments short shrift: </w:t>
      </w:r>
      <w:r w:rsidRPr="00F37D3C">
        <w:rPr>
          <w:i/>
          <w:lang w:val="en-AU"/>
        </w:rPr>
        <w:t>South Australia v Commonwealth</w:t>
      </w:r>
      <w:r w:rsidRPr="0031751F">
        <w:rPr>
          <w:lang w:val="en-AU"/>
        </w:rPr>
        <w:t xml:space="preserve"> (1942) 65 CLR 373</w:t>
      </w:r>
      <w:r>
        <w:rPr>
          <w:lang w:val="en-AU"/>
        </w:rPr>
        <w:t>, 427-9 (Latham CJ), 436 (Rich J), 448 (Starke J), 456 (McTiernan J), 471-2 (Williams J).</w:t>
      </w:r>
    </w:p>
  </w:footnote>
  <w:footnote w:id="121">
    <w:p w14:paraId="69C5F4EA" w14:textId="29D62633" w:rsidR="00D86988" w:rsidRPr="00BB32F9" w:rsidRDefault="00D86988" w:rsidP="0083540D">
      <w:pPr>
        <w:pStyle w:val="FootnoteText"/>
        <w:rPr>
          <w:lang w:val="en-AU"/>
        </w:rPr>
      </w:pPr>
      <w:r>
        <w:rPr>
          <w:rStyle w:val="FootnoteReference"/>
        </w:rPr>
        <w:footnoteRef/>
      </w:r>
      <w:r>
        <w:t xml:space="preserve"> </w:t>
      </w:r>
      <w:r>
        <w:rPr>
          <w:lang w:val="en-AU"/>
        </w:rPr>
        <w:t>(2013) 250 CLR 548, 563 (emphasis added).</w:t>
      </w:r>
    </w:p>
  </w:footnote>
  <w:footnote w:id="122">
    <w:p w14:paraId="171BFAB9" w14:textId="4EA9C6D9" w:rsidR="00D86988" w:rsidRPr="00C95BEA" w:rsidRDefault="00D86988" w:rsidP="005839EA">
      <w:pPr>
        <w:pStyle w:val="FootnoteText"/>
        <w:rPr>
          <w:lang w:val="en-AU"/>
        </w:rPr>
      </w:pPr>
      <w:r>
        <w:rPr>
          <w:rStyle w:val="FootnoteReference"/>
        </w:rPr>
        <w:footnoteRef/>
      </w:r>
      <w:r>
        <w:t xml:space="preserve"> Martin Clark, ‘Royalties, Discrimination and Federalism: Fortescue Metals Group Ltd </w:t>
      </w:r>
      <w:proofErr w:type="gramStart"/>
      <w:r>
        <w:t>v</w:t>
      </w:r>
      <w:proofErr w:type="gramEnd"/>
      <w:r>
        <w:t xml:space="preserve"> Commonwealth’ (2013) </w:t>
      </w:r>
      <w:r w:rsidRPr="00C95BEA">
        <w:t xml:space="preserve">28(10) </w:t>
      </w:r>
      <w:r w:rsidRPr="00C95BEA">
        <w:rPr>
          <w:i/>
        </w:rPr>
        <w:t>Australian Environmental Review</w:t>
      </w:r>
      <w:r w:rsidRPr="00C95BEA">
        <w:t xml:space="preserve"> 794</w:t>
      </w:r>
      <w:r>
        <w:t xml:space="preserve">, 796. See also Nicholas Helm, ‘Constitutional Law: The Validity of the Mineral Resources Rent Tax’ (2013) 87 </w:t>
      </w:r>
      <w:r w:rsidRPr="00EC1A29">
        <w:rPr>
          <w:i/>
        </w:rPr>
        <w:t>Australian Law Journal</w:t>
      </w:r>
      <w:r>
        <w:t xml:space="preserve"> 748.</w:t>
      </w:r>
    </w:p>
  </w:footnote>
  <w:footnote w:id="123">
    <w:p w14:paraId="1FB3B9A7" w14:textId="0B467085" w:rsidR="00D86988" w:rsidRPr="004906CF" w:rsidRDefault="00D86988">
      <w:pPr>
        <w:pStyle w:val="FootnoteText"/>
        <w:rPr>
          <w:lang w:val="en-AU"/>
        </w:rPr>
      </w:pPr>
      <w:r>
        <w:rPr>
          <w:rStyle w:val="FootnoteReference"/>
        </w:rPr>
        <w:footnoteRef/>
      </w:r>
      <w:r>
        <w:t xml:space="preserve"> Robert Schütze, </w:t>
      </w:r>
      <w:r>
        <w:rPr>
          <w:i/>
        </w:rPr>
        <w:t xml:space="preserve">European Constitutional Law </w:t>
      </w:r>
      <w:r>
        <w:t xml:space="preserve">(Cambridge University Press, 2012) 79. </w:t>
      </w:r>
      <w:r>
        <w:rPr>
          <w:lang w:val="en-AU"/>
        </w:rPr>
        <w:t xml:space="preserve">The precise constitutional nature of the EU remains debated: 47-79. For present purposes, it is sufficient to consider the EU as a </w:t>
      </w:r>
      <w:r w:rsidRPr="00D530E7">
        <w:rPr>
          <w:i/>
          <w:lang w:val="en-AU"/>
        </w:rPr>
        <w:t>de facto</w:t>
      </w:r>
      <w:r>
        <w:rPr>
          <w:lang w:val="en-AU"/>
        </w:rPr>
        <w:t xml:space="preserve"> federation or equivalent.</w:t>
      </w:r>
    </w:p>
  </w:footnote>
  <w:footnote w:id="124">
    <w:p w14:paraId="7D1F1A81" w14:textId="16C3BF65" w:rsidR="00D86988" w:rsidRPr="00D65000" w:rsidRDefault="00D86988">
      <w:pPr>
        <w:pStyle w:val="FootnoteText"/>
        <w:rPr>
          <w:lang w:val="en-AU"/>
        </w:rPr>
      </w:pPr>
      <w:r>
        <w:rPr>
          <w:rStyle w:val="FootnoteReference"/>
        </w:rPr>
        <w:footnoteRef/>
      </w:r>
      <w:r>
        <w:t xml:space="preserve"> European Commission, </w:t>
      </w:r>
      <w:r>
        <w:rPr>
          <w:i/>
        </w:rPr>
        <w:t xml:space="preserve">The European Union Explained: Taxation </w:t>
      </w:r>
      <w:r>
        <w:t>(2015) 4. Even if the proposed EU Financial Transaction Tax goes ahead, it will be imposed by legislation of the implementing member states.</w:t>
      </w:r>
    </w:p>
  </w:footnote>
  <w:footnote w:id="125">
    <w:p w14:paraId="2FEAA250" w14:textId="2A018670" w:rsidR="00D86988" w:rsidRPr="000F54C9" w:rsidRDefault="00D86988">
      <w:pPr>
        <w:pStyle w:val="FootnoteText"/>
        <w:rPr>
          <w:lang w:val="en-AU"/>
        </w:rPr>
      </w:pPr>
      <w:r>
        <w:rPr>
          <w:rStyle w:val="FootnoteReference"/>
        </w:rPr>
        <w:footnoteRef/>
      </w:r>
      <w:r>
        <w:t xml:space="preserve"> </w:t>
      </w:r>
      <w:r w:rsidRPr="000B55DE">
        <w:rPr>
          <w:i/>
        </w:rPr>
        <w:t>Treaty on the Functioning of the European Union</w:t>
      </w:r>
      <w:r w:rsidRPr="000B55DE">
        <w:t xml:space="preserve">, opened for signature </w:t>
      </w:r>
      <w:r>
        <w:t>25 March 1957</w:t>
      </w:r>
      <w:r w:rsidRPr="000B55DE">
        <w:t>, [</w:t>
      </w:r>
      <w:r>
        <w:t>2012] OJ C 326/47</w:t>
      </w:r>
      <w:r w:rsidRPr="000B55DE">
        <w:t xml:space="preserve"> (entered into force 1 </w:t>
      </w:r>
      <w:r>
        <w:t>January 1958</w:t>
      </w:r>
      <w:r w:rsidRPr="000B55DE">
        <w:t xml:space="preserve">) </w:t>
      </w:r>
      <w:r>
        <w:t xml:space="preserve">arts 45, 49, 56, 63, 107 </w:t>
      </w:r>
      <w:r w:rsidRPr="000B55DE">
        <w:t>(‘</w:t>
      </w:r>
      <w:r w:rsidRPr="003B7B42">
        <w:rPr>
          <w:i/>
        </w:rPr>
        <w:t>FEU</w:t>
      </w:r>
      <w:r w:rsidRPr="000B55DE">
        <w:t>’)</w:t>
      </w:r>
      <w:r>
        <w:t>.</w:t>
      </w:r>
    </w:p>
  </w:footnote>
  <w:footnote w:id="126">
    <w:p w14:paraId="485B59B8" w14:textId="64BEF30A" w:rsidR="00D86988" w:rsidRPr="00B43E33" w:rsidRDefault="00D86988">
      <w:pPr>
        <w:pStyle w:val="FootnoteText"/>
        <w:rPr>
          <w:lang w:val="en-AU"/>
        </w:rPr>
      </w:pPr>
      <w:r>
        <w:rPr>
          <w:rStyle w:val="FootnoteReference"/>
        </w:rPr>
        <w:footnoteRef/>
      </w:r>
      <w:r>
        <w:t xml:space="preserve"> </w:t>
      </w:r>
      <w:r>
        <w:rPr>
          <w:lang w:val="en-AU"/>
        </w:rPr>
        <w:t>(1939) 61 CLR 735, 758.</w:t>
      </w:r>
    </w:p>
  </w:footnote>
  <w:footnote w:id="127">
    <w:p w14:paraId="1C58ECFF" w14:textId="049F6C9B" w:rsidR="00D86988" w:rsidRPr="008D2126" w:rsidRDefault="00D86988">
      <w:pPr>
        <w:pStyle w:val="FootnoteText"/>
        <w:rPr>
          <w:lang w:val="en-AU"/>
        </w:rPr>
      </w:pPr>
      <w:r>
        <w:rPr>
          <w:rStyle w:val="FootnoteReference"/>
        </w:rPr>
        <w:footnoteRef/>
      </w:r>
      <w:r>
        <w:t xml:space="preserve"> </w:t>
      </w:r>
      <w:r>
        <w:rPr>
          <w:i/>
          <w:lang w:val="en-AU"/>
        </w:rPr>
        <w:t>FEU</w:t>
      </w:r>
      <w:r>
        <w:rPr>
          <w:lang w:val="en-AU"/>
        </w:rPr>
        <w:t xml:space="preserve"> arts 49, 56, 63, 107.</w:t>
      </w:r>
    </w:p>
  </w:footnote>
  <w:footnote w:id="128">
    <w:p w14:paraId="47375286" w14:textId="4552B5F2" w:rsidR="00D86988" w:rsidRPr="008D2126" w:rsidRDefault="00D86988">
      <w:pPr>
        <w:pStyle w:val="FootnoteText"/>
        <w:rPr>
          <w:lang w:val="en-AU"/>
        </w:rPr>
      </w:pPr>
      <w:r>
        <w:rPr>
          <w:rStyle w:val="FootnoteReference"/>
        </w:rPr>
        <w:footnoteRef/>
      </w:r>
      <w:r>
        <w:t xml:space="preserve"> Ibid arts 45(3), 52(1), 65(2), 65(4), 65(1)(a).</w:t>
      </w:r>
    </w:p>
  </w:footnote>
  <w:footnote w:id="129">
    <w:p w14:paraId="2759687A" w14:textId="0F8C9103" w:rsidR="00D86988" w:rsidRPr="00AA4387" w:rsidRDefault="00D86988">
      <w:pPr>
        <w:pStyle w:val="FootnoteText"/>
        <w:rPr>
          <w:i/>
          <w:lang w:val="en-AU"/>
        </w:rPr>
      </w:pPr>
      <w:r>
        <w:rPr>
          <w:rStyle w:val="FootnoteReference"/>
        </w:rPr>
        <w:footnoteRef/>
      </w:r>
      <w:r>
        <w:t xml:space="preserve"> </w:t>
      </w:r>
      <w:r>
        <w:rPr>
          <w:lang w:val="en-AU"/>
        </w:rPr>
        <w:t>Ibid arts 107(3)(a), 349.</w:t>
      </w:r>
    </w:p>
  </w:footnote>
  <w:footnote w:id="130">
    <w:p w14:paraId="69EE1F67" w14:textId="66E889C1" w:rsidR="00D86988" w:rsidRPr="003C39D1" w:rsidRDefault="00D86988" w:rsidP="003C39D1">
      <w:pPr>
        <w:pStyle w:val="FootnoteText"/>
      </w:pPr>
      <w:r>
        <w:rPr>
          <w:rStyle w:val="FootnoteReference"/>
        </w:rPr>
        <w:footnoteRef/>
      </w:r>
      <w:r>
        <w:t xml:space="preserve"> </w:t>
      </w:r>
      <w:r w:rsidRPr="003C39D1">
        <w:rPr>
          <w:i/>
        </w:rPr>
        <w:t>Constitution Act 1867</w:t>
      </w:r>
      <w:r>
        <w:t xml:space="preserve"> (Imp), 30 &amp; 31 Vict, c 3, ss 91(3), 92(2), 92</w:t>
      </w:r>
      <w:proofErr w:type="gramStart"/>
      <w:r>
        <w:t>A(</w:t>
      </w:r>
      <w:proofErr w:type="gramEnd"/>
      <w:r>
        <w:t>4) (‘</w:t>
      </w:r>
      <w:r>
        <w:rPr>
          <w:i/>
        </w:rPr>
        <w:t>Constitution Act 1867</w:t>
      </w:r>
      <w:r>
        <w:t>’), which set out the taxation powers of the federal Parliament and provincial Legislatures.</w:t>
      </w:r>
    </w:p>
  </w:footnote>
  <w:footnote w:id="131">
    <w:p w14:paraId="6ADE3821" w14:textId="63A256FD" w:rsidR="00D86988" w:rsidRPr="00477BD6" w:rsidRDefault="00D86988">
      <w:pPr>
        <w:pStyle w:val="FootnoteText"/>
        <w:rPr>
          <w:lang w:val="en-AU"/>
        </w:rPr>
      </w:pPr>
      <w:r>
        <w:rPr>
          <w:rStyle w:val="FootnoteReference"/>
        </w:rPr>
        <w:footnoteRef/>
      </w:r>
      <w:r>
        <w:t xml:space="preserve"> </w:t>
      </w:r>
      <w:r>
        <w:rPr>
          <w:lang w:val="en-AU"/>
        </w:rPr>
        <w:t xml:space="preserve">Quick and Garran, above n </w:t>
      </w:r>
      <w:r>
        <w:rPr>
          <w:lang w:val="en-AU"/>
        </w:rPr>
        <w:fldChar w:fldCharType="begin"/>
      </w:r>
      <w:r>
        <w:rPr>
          <w:lang w:val="en-AU"/>
        </w:rPr>
        <w:instrText xml:space="preserve"> NOTEREF _Ref442030115 \h </w:instrText>
      </w:r>
      <w:r>
        <w:rPr>
          <w:lang w:val="en-AU"/>
        </w:rPr>
      </w:r>
      <w:r>
        <w:rPr>
          <w:lang w:val="en-AU"/>
        </w:rPr>
        <w:fldChar w:fldCharType="separate"/>
      </w:r>
      <w:r>
        <w:rPr>
          <w:lang w:val="en-AU"/>
        </w:rPr>
        <w:t>43</w:t>
      </w:r>
      <w:r>
        <w:rPr>
          <w:lang w:val="en-AU"/>
        </w:rPr>
        <w:fldChar w:fldCharType="end"/>
      </w:r>
      <w:r>
        <w:rPr>
          <w:lang w:val="en-AU"/>
        </w:rPr>
        <w:t>, 552, 554.</w:t>
      </w:r>
    </w:p>
  </w:footnote>
  <w:footnote w:id="132">
    <w:p w14:paraId="03891197" w14:textId="75B772D0" w:rsidR="00D86988" w:rsidRPr="00983F56" w:rsidRDefault="00D86988">
      <w:pPr>
        <w:pStyle w:val="FootnoteText"/>
        <w:rPr>
          <w:lang w:val="en-AU"/>
        </w:rPr>
      </w:pPr>
      <w:r>
        <w:rPr>
          <w:rStyle w:val="FootnoteReference"/>
        </w:rPr>
        <w:footnoteRef/>
      </w:r>
      <w:r>
        <w:t xml:space="preserve"> See Part III</w:t>
      </w:r>
      <w:r>
        <w:rPr>
          <w:lang w:val="en-AU"/>
        </w:rPr>
        <w:t xml:space="preserve">; </w:t>
      </w:r>
      <w:r>
        <w:t xml:space="preserve">Quick and Garran, above n </w:t>
      </w:r>
      <w:r>
        <w:fldChar w:fldCharType="begin"/>
      </w:r>
      <w:r>
        <w:instrText xml:space="preserve"> NOTEREF _Ref442030115 \h </w:instrText>
      </w:r>
      <w:r>
        <w:fldChar w:fldCharType="separate"/>
      </w:r>
      <w:r>
        <w:t>43</w:t>
      </w:r>
      <w:r>
        <w:fldChar w:fldCharType="end"/>
      </w:r>
      <w:r>
        <w:t xml:space="preserve">, 549-50; John La Nauze, </w:t>
      </w:r>
      <w:r>
        <w:rPr>
          <w:i/>
        </w:rPr>
        <w:t xml:space="preserve">The Making of the Australian Constitution </w:t>
      </w:r>
      <w:r>
        <w:t>(Melbourne University Press, 1972) 55.</w:t>
      </w:r>
    </w:p>
  </w:footnote>
  <w:footnote w:id="133">
    <w:p w14:paraId="49491F7A" w14:textId="2DB12B0F" w:rsidR="00D86988" w:rsidRPr="00A536AD" w:rsidRDefault="00D86988">
      <w:pPr>
        <w:pStyle w:val="FootnoteText"/>
        <w:rPr>
          <w:lang w:val="en-AU"/>
        </w:rPr>
      </w:pPr>
      <w:r>
        <w:rPr>
          <w:rStyle w:val="FootnoteReference"/>
        </w:rPr>
        <w:footnoteRef/>
      </w:r>
      <w:r>
        <w:t xml:space="preserve"> </w:t>
      </w:r>
      <w:r>
        <w:rPr>
          <w:lang w:val="en-AU"/>
        </w:rPr>
        <w:t xml:space="preserve">Quick and Garran, above n </w:t>
      </w:r>
      <w:r>
        <w:rPr>
          <w:lang w:val="en-AU"/>
        </w:rPr>
        <w:fldChar w:fldCharType="begin"/>
      </w:r>
      <w:r>
        <w:rPr>
          <w:lang w:val="en-AU"/>
        </w:rPr>
        <w:instrText xml:space="preserve"> NOTEREF _Ref442030115 \h </w:instrText>
      </w:r>
      <w:r>
        <w:rPr>
          <w:lang w:val="en-AU"/>
        </w:rPr>
      </w:r>
      <w:r>
        <w:rPr>
          <w:lang w:val="en-AU"/>
        </w:rPr>
        <w:fldChar w:fldCharType="separate"/>
      </w:r>
      <w:r>
        <w:rPr>
          <w:lang w:val="en-AU"/>
        </w:rPr>
        <w:t>43</w:t>
      </w:r>
      <w:r>
        <w:rPr>
          <w:lang w:val="en-AU"/>
        </w:rPr>
        <w:fldChar w:fldCharType="end"/>
      </w:r>
      <w:r>
        <w:rPr>
          <w:lang w:val="en-AU"/>
        </w:rPr>
        <w:t>, 550.</w:t>
      </w:r>
    </w:p>
  </w:footnote>
  <w:footnote w:id="134">
    <w:p w14:paraId="50E00D53" w14:textId="6C2EE717" w:rsidR="00D86988" w:rsidRPr="00440E62" w:rsidRDefault="00D86988">
      <w:pPr>
        <w:pStyle w:val="FootnoteText"/>
        <w:rPr>
          <w:lang w:val="en-AU"/>
        </w:rPr>
      </w:pPr>
      <w:r>
        <w:rPr>
          <w:rStyle w:val="FootnoteReference"/>
        </w:rPr>
        <w:footnoteRef/>
      </w:r>
      <w:r>
        <w:t xml:space="preserve"> Kathleen Morris and Chief Justice James Allsop, ‘The United States and the Australian Constitution: Influence of US constitutional model on development and interpretation of the Australian Constitution’ (2015) </w:t>
      </w:r>
      <w:r w:rsidRPr="00440E62">
        <w:t xml:space="preserve">89 </w:t>
      </w:r>
      <w:r>
        <w:rPr>
          <w:i/>
        </w:rPr>
        <w:t>Australian Law Journal</w:t>
      </w:r>
      <w:r w:rsidRPr="00440E62">
        <w:t xml:space="preserve"> 309</w:t>
      </w:r>
      <w:r>
        <w:t>, 324.</w:t>
      </w:r>
    </w:p>
  </w:footnote>
  <w:footnote w:id="135">
    <w:p w14:paraId="6A4109B1" w14:textId="0AB59224" w:rsidR="00D86988" w:rsidRPr="00FD00F9" w:rsidRDefault="00D86988">
      <w:pPr>
        <w:pStyle w:val="FootnoteText"/>
        <w:rPr>
          <w:lang w:val="en-AU"/>
        </w:rPr>
      </w:pPr>
      <w:r>
        <w:rPr>
          <w:rStyle w:val="FootnoteReference"/>
        </w:rPr>
        <w:footnoteRef/>
      </w:r>
      <w:r>
        <w:t xml:space="preserve"> </w:t>
      </w:r>
      <w:r>
        <w:rPr>
          <w:i/>
        </w:rPr>
        <w:t xml:space="preserve">Deputy Commissioner of Taxation (NSW) v Brown </w:t>
      </w:r>
      <w:r>
        <w:rPr>
          <w:lang w:val="en-AU"/>
        </w:rPr>
        <w:t>(1958) 100 CLR 32, 39.</w:t>
      </w:r>
    </w:p>
  </w:footnote>
  <w:footnote w:id="136">
    <w:p w14:paraId="05A35ABB" w14:textId="091CA669" w:rsidR="00D86988" w:rsidRPr="00FD00F9" w:rsidRDefault="00D86988">
      <w:pPr>
        <w:pStyle w:val="FootnoteText"/>
        <w:rPr>
          <w:lang w:val="en-AU"/>
        </w:rPr>
      </w:pPr>
      <w:r>
        <w:rPr>
          <w:rStyle w:val="FootnoteReference"/>
        </w:rPr>
        <w:footnoteRef/>
      </w:r>
      <w:r>
        <w:t xml:space="preserve"> (2013) 250 CLR 548, 601.</w:t>
      </w:r>
    </w:p>
  </w:footnote>
  <w:footnote w:id="137">
    <w:p w14:paraId="5D7CDEA6" w14:textId="34AE9E06" w:rsidR="00D86988" w:rsidRPr="00776CFB" w:rsidRDefault="00D86988">
      <w:pPr>
        <w:pStyle w:val="FootnoteText"/>
        <w:rPr>
          <w:lang w:val="en-AU"/>
        </w:rPr>
      </w:pPr>
      <w:r>
        <w:rPr>
          <w:rStyle w:val="FootnoteReference"/>
        </w:rPr>
        <w:footnoteRef/>
      </w:r>
      <w:r>
        <w:t xml:space="preserve"> </w:t>
      </w:r>
      <w:r>
        <w:rPr>
          <w:lang w:val="en-AU"/>
        </w:rPr>
        <w:t xml:space="preserve">See, eg, Saunders, above n </w:t>
      </w:r>
      <w:r>
        <w:rPr>
          <w:lang w:val="en-AU"/>
        </w:rPr>
        <w:fldChar w:fldCharType="begin"/>
      </w:r>
      <w:r>
        <w:rPr>
          <w:lang w:val="en-AU"/>
        </w:rPr>
        <w:instrText xml:space="preserve"> NOTEREF _Ref444440163 \h </w:instrText>
      </w:r>
      <w:r>
        <w:rPr>
          <w:lang w:val="en-AU"/>
        </w:rPr>
      </w:r>
      <w:r>
        <w:rPr>
          <w:lang w:val="en-AU"/>
        </w:rPr>
        <w:fldChar w:fldCharType="separate"/>
      </w:r>
      <w:r>
        <w:rPr>
          <w:lang w:val="en-AU"/>
        </w:rPr>
        <w:t>8</w:t>
      </w:r>
      <w:r>
        <w:rPr>
          <w:lang w:val="en-AU"/>
        </w:rPr>
        <w:fldChar w:fldCharType="end"/>
      </w:r>
      <w:r>
        <w:rPr>
          <w:lang w:val="en-AU"/>
        </w:rPr>
        <w:t>, 216-8.</w:t>
      </w:r>
    </w:p>
  </w:footnote>
  <w:footnote w:id="138">
    <w:p w14:paraId="41E4469D" w14:textId="04E1F71D" w:rsidR="00D86988" w:rsidRPr="005345BC" w:rsidRDefault="00D86988">
      <w:pPr>
        <w:pStyle w:val="FootnoteText"/>
        <w:rPr>
          <w:lang w:val="en-AU"/>
        </w:rPr>
      </w:pPr>
      <w:r>
        <w:rPr>
          <w:rStyle w:val="FootnoteReference"/>
        </w:rPr>
        <w:footnoteRef/>
      </w:r>
      <w:r>
        <w:t xml:space="preserve"> </w:t>
      </w:r>
      <w:r>
        <w:rPr>
          <w:lang w:val="en-AU"/>
        </w:rPr>
        <w:t xml:space="preserve">Morris and Allsop, above n </w:t>
      </w:r>
      <w:r>
        <w:rPr>
          <w:lang w:val="en-AU"/>
        </w:rPr>
        <w:fldChar w:fldCharType="begin"/>
      </w:r>
      <w:r>
        <w:rPr>
          <w:lang w:val="en-AU"/>
        </w:rPr>
        <w:instrText xml:space="preserve"> NOTEREF _Ref444372932 \h </w:instrText>
      </w:r>
      <w:r>
        <w:rPr>
          <w:lang w:val="en-AU"/>
        </w:rPr>
      </w:r>
      <w:r>
        <w:rPr>
          <w:lang w:val="en-AU"/>
        </w:rPr>
        <w:fldChar w:fldCharType="separate"/>
      </w:r>
      <w:r>
        <w:rPr>
          <w:lang w:val="en-AU"/>
        </w:rPr>
        <w:t>134</w:t>
      </w:r>
      <w:r>
        <w:rPr>
          <w:lang w:val="en-AU"/>
        </w:rPr>
        <w:fldChar w:fldCharType="end"/>
      </w:r>
      <w:r>
        <w:rPr>
          <w:lang w:val="en-AU"/>
        </w:rPr>
        <w:t>, 322, 329-30.</w:t>
      </w:r>
    </w:p>
  </w:footnote>
  <w:footnote w:id="139">
    <w:p w14:paraId="1CA27068" w14:textId="288FCDDA" w:rsidR="00D86988" w:rsidRPr="001A2C53" w:rsidRDefault="00D86988">
      <w:pPr>
        <w:pStyle w:val="FootnoteText"/>
        <w:rPr>
          <w:lang w:val="en-AU"/>
        </w:rPr>
      </w:pPr>
      <w:r>
        <w:rPr>
          <w:rStyle w:val="FootnoteReference"/>
        </w:rPr>
        <w:footnoteRef/>
      </w:r>
      <w:r>
        <w:t xml:space="preserve"> </w:t>
      </w:r>
      <w:r>
        <w:rPr>
          <w:lang w:val="en-AU"/>
        </w:rPr>
        <w:t xml:space="preserve">Simpson, above n </w:t>
      </w:r>
      <w:r>
        <w:rPr>
          <w:lang w:val="en-AU"/>
        </w:rPr>
        <w:fldChar w:fldCharType="begin"/>
      </w:r>
      <w:r>
        <w:rPr>
          <w:lang w:val="en-AU"/>
        </w:rPr>
        <w:instrText xml:space="preserve"> NOTEREF _Ref449350353 \h </w:instrText>
      </w:r>
      <w:r>
        <w:rPr>
          <w:lang w:val="en-AU"/>
        </w:rPr>
      </w:r>
      <w:r>
        <w:rPr>
          <w:lang w:val="en-AU"/>
        </w:rPr>
        <w:fldChar w:fldCharType="separate"/>
      </w:r>
      <w:r>
        <w:rPr>
          <w:lang w:val="en-AU"/>
        </w:rPr>
        <w:t>88</w:t>
      </w:r>
      <w:r>
        <w:rPr>
          <w:lang w:val="en-AU"/>
        </w:rPr>
        <w:fldChar w:fldCharType="end"/>
      </w:r>
      <w:r>
        <w:rPr>
          <w:lang w:val="en-AU"/>
        </w:rPr>
        <w:t xml:space="preserve">, 669-70; Stephen McLeish, ‘Federal Implications under the Australian Constitution’ (2014) 25 </w:t>
      </w:r>
      <w:r>
        <w:rPr>
          <w:i/>
          <w:lang w:val="en-AU"/>
        </w:rPr>
        <w:t xml:space="preserve">Public Law Review </w:t>
      </w:r>
      <w:r>
        <w:rPr>
          <w:lang w:val="en-AU"/>
        </w:rPr>
        <w:t xml:space="preserve">172, 183. </w:t>
      </w:r>
    </w:p>
  </w:footnote>
  <w:footnote w:id="140">
    <w:p w14:paraId="77354373" w14:textId="2B28B3BB" w:rsidR="00D86988" w:rsidRPr="004E44F7" w:rsidRDefault="00D86988">
      <w:pPr>
        <w:pStyle w:val="FootnoteText"/>
        <w:rPr>
          <w:lang w:val="en-AU"/>
        </w:rPr>
      </w:pPr>
      <w:r>
        <w:rPr>
          <w:rStyle w:val="FootnoteReference"/>
        </w:rPr>
        <w:footnoteRef/>
      </w:r>
      <w:r>
        <w:t xml:space="preserve"> (2013) 250 CLR 548, 574, 619-20.</w:t>
      </w:r>
    </w:p>
  </w:footnote>
  <w:footnote w:id="141">
    <w:p w14:paraId="55AF504F" w14:textId="5BAD91AC" w:rsidR="00D86988" w:rsidRPr="003322B6" w:rsidRDefault="00D86988">
      <w:pPr>
        <w:pStyle w:val="FootnoteText"/>
        <w:rPr>
          <w:lang w:val="en-AU"/>
        </w:rPr>
      </w:pPr>
      <w:r>
        <w:rPr>
          <w:rStyle w:val="FootnoteReference"/>
        </w:rPr>
        <w:footnoteRef/>
      </w:r>
      <w:r>
        <w:t xml:space="preserve"> 462 US 74, 82-84 (1983).</w:t>
      </w:r>
    </w:p>
  </w:footnote>
  <w:footnote w:id="142">
    <w:p w14:paraId="02189D8B" w14:textId="407D8A8A" w:rsidR="00D86988" w:rsidRPr="007239F3" w:rsidRDefault="00D86988">
      <w:pPr>
        <w:pStyle w:val="FootnoteText"/>
        <w:rPr>
          <w:lang w:val="en-AU"/>
        </w:rPr>
      </w:pPr>
      <w:r>
        <w:rPr>
          <w:rStyle w:val="FootnoteReference"/>
        </w:rPr>
        <w:footnoteRef/>
      </w:r>
      <w:r>
        <w:t xml:space="preserve"> Ibid 84-5 </w:t>
      </w:r>
      <w:r>
        <w:rPr>
          <w:lang w:val="en-AU"/>
        </w:rPr>
        <w:t>(emphasis added).</w:t>
      </w:r>
    </w:p>
  </w:footnote>
  <w:footnote w:id="143">
    <w:p w14:paraId="548B790A" w14:textId="16AA94F6" w:rsidR="00D86988" w:rsidRPr="00681EE9" w:rsidRDefault="00D86988">
      <w:pPr>
        <w:pStyle w:val="FootnoteText"/>
        <w:rPr>
          <w:lang w:val="en-AU"/>
        </w:rPr>
      </w:pPr>
      <w:r>
        <w:rPr>
          <w:rStyle w:val="FootnoteReference"/>
        </w:rPr>
        <w:footnoteRef/>
      </w:r>
      <w:r>
        <w:t xml:space="preserve"> </w:t>
      </w:r>
      <w:r>
        <w:rPr>
          <w:lang w:val="en-AU"/>
        </w:rPr>
        <w:t>Ibid 85-6 (emphasis added).</w:t>
      </w:r>
    </w:p>
  </w:footnote>
  <w:footnote w:id="144">
    <w:p w14:paraId="14A25799" w14:textId="652357D9" w:rsidR="00D86988" w:rsidRPr="00D23C97" w:rsidRDefault="00D86988">
      <w:pPr>
        <w:pStyle w:val="FootnoteText"/>
        <w:rPr>
          <w:lang w:val="en-AU"/>
        </w:rPr>
      </w:pPr>
      <w:r>
        <w:rPr>
          <w:rStyle w:val="FootnoteReference"/>
        </w:rPr>
        <w:footnoteRef/>
      </w:r>
      <w:r>
        <w:t xml:space="preserve"> </w:t>
      </w:r>
      <w:r>
        <w:rPr>
          <w:i/>
        </w:rPr>
        <w:t xml:space="preserve">Fortescue </w:t>
      </w:r>
      <w:r>
        <w:rPr>
          <w:lang w:val="en-AU"/>
        </w:rPr>
        <w:t xml:space="preserve">(2013) 250 CLR 548, 563 (French CJ). While it is beyond the scope of this article, there is debate about whether courts should employ proportionality analysis in a tax context: see, eg, Vicki Jackson, ‘Constitutional Law in an Age of Proportionality’ (2015) 124 </w:t>
      </w:r>
      <w:r>
        <w:rPr>
          <w:i/>
          <w:lang w:val="en-AU"/>
        </w:rPr>
        <w:t xml:space="preserve">Yale Law Journal </w:t>
      </w:r>
      <w:r>
        <w:rPr>
          <w:lang w:val="en-AU"/>
        </w:rPr>
        <w:t xml:space="preserve">3094, 3109-10. For opinions regarding s 51(ii) in particular, see: Saunders, above n </w:t>
      </w:r>
      <w:r>
        <w:rPr>
          <w:lang w:val="en-AU"/>
        </w:rPr>
        <w:fldChar w:fldCharType="begin"/>
      </w:r>
      <w:r>
        <w:rPr>
          <w:lang w:val="en-AU"/>
        </w:rPr>
        <w:instrText xml:space="preserve"> NOTEREF _Ref444440163 \h </w:instrText>
      </w:r>
      <w:r>
        <w:rPr>
          <w:lang w:val="en-AU"/>
        </w:rPr>
      </w:r>
      <w:r>
        <w:rPr>
          <w:lang w:val="en-AU"/>
        </w:rPr>
        <w:fldChar w:fldCharType="separate"/>
      </w:r>
      <w:r>
        <w:rPr>
          <w:lang w:val="en-AU"/>
        </w:rPr>
        <w:t>8</w:t>
      </w:r>
      <w:r>
        <w:rPr>
          <w:lang w:val="en-AU"/>
        </w:rPr>
        <w:fldChar w:fldCharType="end"/>
      </w:r>
      <w:r>
        <w:rPr>
          <w:lang w:val="en-AU"/>
        </w:rPr>
        <w:t xml:space="preserve">, 222-3; Evans, above n </w:t>
      </w:r>
      <w:r>
        <w:rPr>
          <w:lang w:val="en-AU"/>
        </w:rPr>
        <w:fldChar w:fldCharType="begin"/>
      </w:r>
      <w:r>
        <w:rPr>
          <w:lang w:val="en-AU"/>
        </w:rPr>
        <w:instrText xml:space="preserve"> NOTEREF _Ref449538741 \h </w:instrText>
      </w:r>
      <w:r>
        <w:rPr>
          <w:lang w:val="en-AU"/>
        </w:rPr>
      </w:r>
      <w:r>
        <w:rPr>
          <w:lang w:val="en-AU"/>
        </w:rPr>
        <w:fldChar w:fldCharType="separate"/>
      </w:r>
      <w:r>
        <w:rPr>
          <w:lang w:val="en-AU"/>
        </w:rPr>
        <w:t>34</w:t>
      </w:r>
      <w:r>
        <w:rPr>
          <w:lang w:val="en-AU"/>
        </w:rPr>
        <w:fldChar w:fldCharType="end"/>
      </w:r>
      <w:r>
        <w:rPr>
          <w:lang w:val="en-AU"/>
        </w:rPr>
        <w:t xml:space="preserve">, 66; cf James Stellios, </w:t>
      </w:r>
      <w:r>
        <w:rPr>
          <w:i/>
          <w:lang w:val="en-AU"/>
        </w:rPr>
        <w:t xml:space="preserve">Zines’s The High Court and the Constitution </w:t>
      </w:r>
      <w:r>
        <w:rPr>
          <w:lang w:val="en-AU"/>
        </w:rPr>
        <w:t>(Federation Press, 6</w:t>
      </w:r>
      <w:r w:rsidRPr="00D23C97">
        <w:rPr>
          <w:vertAlign w:val="superscript"/>
          <w:lang w:val="en-AU"/>
        </w:rPr>
        <w:t>th</w:t>
      </w:r>
      <w:r>
        <w:rPr>
          <w:lang w:val="en-AU"/>
        </w:rPr>
        <w:t xml:space="preserve"> ed, 2015) 46.</w:t>
      </w:r>
    </w:p>
  </w:footnote>
  <w:footnote w:id="145">
    <w:p w14:paraId="53FBEC60" w14:textId="77777777" w:rsidR="00D86988" w:rsidRPr="00BA16C9" w:rsidRDefault="00D86988" w:rsidP="00335D8F">
      <w:pPr>
        <w:pStyle w:val="FootnoteText"/>
        <w:rPr>
          <w:lang w:val="en-AU"/>
        </w:rPr>
      </w:pPr>
      <w:r>
        <w:rPr>
          <w:rStyle w:val="FootnoteReference"/>
        </w:rPr>
        <w:footnoteRef/>
      </w:r>
      <w:r>
        <w:t xml:space="preserve"> </w:t>
      </w:r>
      <w:r>
        <w:rPr>
          <w:lang w:val="en-AU"/>
        </w:rPr>
        <w:t>Ibid 576 (French CJ).</w:t>
      </w:r>
    </w:p>
  </w:footnote>
  <w:footnote w:id="146">
    <w:p w14:paraId="6A431092" w14:textId="13933FA5" w:rsidR="00D86988" w:rsidRPr="001727AF" w:rsidRDefault="00D86988" w:rsidP="00335D8F">
      <w:pPr>
        <w:pStyle w:val="FootnoteText"/>
        <w:rPr>
          <w:lang w:val="en-AU"/>
        </w:rPr>
      </w:pPr>
      <w:r>
        <w:rPr>
          <w:rStyle w:val="FootnoteReference"/>
        </w:rPr>
        <w:footnoteRef/>
      </w:r>
      <w:r>
        <w:t xml:space="preserve"> </w:t>
      </w:r>
      <w:r w:rsidRPr="001440C4">
        <w:rPr>
          <w:szCs w:val="16"/>
        </w:rPr>
        <w:t>Simpson</w:t>
      </w:r>
      <w:r>
        <w:rPr>
          <w:szCs w:val="16"/>
        </w:rPr>
        <w:t xml:space="preserve">, above n </w:t>
      </w:r>
      <w:r>
        <w:rPr>
          <w:szCs w:val="16"/>
        </w:rPr>
        <w:fldChar w:fldCharType="begin"/>
      </w:r>
      <w:r>
        <w:rPr>
          <w:szCs w:val="16"/>
        </w:rPr>
        <w:instrText xml:space="preserve"> NOTEREF _Ref449475973 \h </w:instrText>
      </w:r>
      <w:r>
        <w:rPr>
          <w:szCs w:val="16"/>
        </w:rPr>
      </w:r>
      <w:r>
        <w:rPr>
          <w:szCs w:val="16"/>
        </w:rPr>
        <w:fldChar w:fldCharType="separate"/>
      </w:r>
      <w:r>
        <w:rPr>
          <w:szCs w:val="16"/>
        </w:rPr>
        <w:t>61</w:t>
      </w:r>
      <w:r>
        <w:rPr>
          <w:szCs w:val="16"/>
        </w:rPr>
        <w:fldChar w:fldCharType="end"/>
      </w:r>
      <w:r w:rsidRPr="001440C4">
        <w:rPr>
          <w:szCs w:val="16"/>
        </w:rPr>
        <w:t xml:space="preserve">, </w:t>
      </w:r>
      <w:r>
        <w:rPr>
          <w:szCs w:val="16"/>
        </w:rPr>
        <w:t>267, 281</w:t>
      </w:r>
      <w:r w:rsidRPr="001440C4">
        <w:rPr>
          <w:szCs w:val="16"/>
        </w:rPr>
        <w:t>.</w:t>
      </w:r>
      <w:r>
        <w:rPr>
          <w:lang w:val="en-AU"/>
        </w:rPr>
        <w:t xml:space="preserve"> </w:t>
      </w:r>
    </w:p>
  </w:footnote>
  <w:footnote w:id="147">
    <w:p w14:paraId="251F13B6" w14:textId="46A8E7C6" w:rsidR="00D86988" w:rsidRPr="00AB04E6" w:rsidRDefault="00D86988" w:rsidP="00A74F2D">
      <w:pPr>
        <w:pStyle w:val="FootnoteText"/>
        <w:rPr>
          <w:lang w:val="en-AU"/>
        </w:rPr>
      </w:pPr>
      <w:r>
        <w:rPr>
          <w:rStyle w:val="FootnoteReference"/>
        </w:rPr>
        <w:footnoteRef/>
      </w:r>
      <w:r>
        <w:t xml:space="preserve"> </w:t>
      </w:r>
      <w:r>
        <w:rPr>
          <w:lang w:val="en-AU"/>
        </w:rPr>
        <w:t xml:space="preserve">(2013) 250 CLR 548, 618, quoting </w:t>
      </w:r>
      <w:r>
        <w:rPr>
          <w:i/>
          <w:lang w:val="en-AU"/>
        </w:rPr>
        <w:t xml:space="preserve">Moran </w:t>
      </w:r>
      <w:r>
        <w:rPr>
          <w:lang w:val="en-AU"/>
        </w:rPr>
        <w:t xml:space="preserve">[1940] AC 838, </w:t>
      </w:r>
      <w:r w:rsidRPr="00703DE6">
        <w:rPr>
          <w:lang w:val="en-AU"/>
        </w:rPr>
        <w:t>854</w:t>
      </w:r>
      <w:r>
        <w:rPr>
          <w:lang w:val="en-AU"/>
        </w:rPr>
        <w:t>. See also the plurality: 605.</w:t>
      </w:r>
    </w:p>
  </w:footnote>
  <w:footnote w:id="148">
    <w:p w14:paraId="36456BCD" w14:textId="0A48250E" w:rsidR="00D86988" w:rsidRPr="002812C9" w:rsidRDefault="00D86988">
      <w:pPr>
        <w:pStyle w:val="FootnoteText"/>
        <w:rPr>
          <w:lang w:val="en-AU"/>
        </w:rPr>
      </w:pPr>
      <w:r>
        <w:rPr>
          <w:rStyle w:val="FootnoteReference"/>
        </w:rPr>
        <w:footnoteRef/>
      </w:r>
      <w:r>
        <w:t xml:space="preserve"> </w:t>
      </w:r>
      <w:r>
        <w:rPr>
          <w:lang w:val="en-AU"/>
        </w:rPr>
        <w:t>Ibid 563 (emphasis added).</w:t>
      </w:r>
    </w:p>
  </w:footnote>
  <w:footnote w:id="149">
    <w:p w14:paraId="0DB3FA69" w14:textId="7F3A971B" w:rsidR="00D86988" w:rsidRPr="00021BC9" w:rsidRDefault="00D86988">
      <w:pPr>
        <w:pStyle w:val="FootnoteText"/>
        <w:rPr>
          <w:lang w:val="en-AU"/>
        </w:rPr>
      </w:pPr>
      <w:r>
        <w:rPr>
          <w:rStyle w:val="FootnoteReference"/>
        </w:rPr>
        <w:footnoteRef/>
      </w:r>
      <w:r>
        <w:t xml:space="preserve"> </w:t>
      </w:r>
      <w:r>
        <w:rPr>
          <w:lang w:val="en-AU"/>
        </w:rPr>
        <w:t xml:space="preserve">Simpson, above </w:t>
      </w:r>
      <w:r>
        <w:rPr>
          <w:szCs w:val="16"/>
        </w:rPr>
        <w:t xml:space="preserve">n </w:t>
      </w:r>
      <w:r>
        <w:rPr>
          <w:szCs w:val="16"/>
        </w:rPr>
        <w:fldChar w:fldCharType="begin"/>
      </w:r>
      <w:r>
        <w:rPr>
          <w:szCs w:val="16"/>
        </w:rPr>
        <w:instrText xml:space="preserve"> NOTEREF _Ref449475973 \h </w:instrText>
      </w:r>
      <w:r>
        <w:rPr>
          <w:szCs w:val="16"/>
        </w:rPr>
      </w:r>
      <w:r>
        <w:rPr>
          <w:szCs w:val="16"/>
        </w:rPr>
        <w:fldChar w:fldCharType="separate"/>
      </w:r>
      <w:r>
        <w:rPr>
          <w:szCs w:val="16"/>
        </w:rPr>
        <w:t>61</w:t>
      </w:r>
      <w:r>
        <w:rPr>
          <w:szCs w:val="16"/>
        </w:rPr>
        <w:fldChar w:fldCharType="end"/>
      </w:r>
      <w:r>
        <w:rPr>
          <w:lang w:val="en-AU"/>
        </w:rPr>
        <w:t>, 264.</w:t>
      </w:r>
    </w:p>
  </w:footnote>
  <w:footnote w:id="150">
    <w:p w14:paraId="0415A106" w14:textId="4C67E79A" w:rsidR="00D86988" w:rsidRPr="008E7147" w:rsidRDefault="00D86988">
      <w:pPr>
        <w:pStyle w:val="FootnoteText"/>
        <w:rPr>
          <w:lang w:val="en-AU"/>
        </w:rPr>
      </w:pPr>
      <w:r>
        <w:rPr>
          <w:rStyle w:val="FootnoteReference"/>
        </w:rPr>
        <w:footnoteRef/>
      </w:r>
      <w:r>
        <w:t xml:space="preserve"> </w:t>
      </w:r>
      <w:r>
        <w:rPr>
          <w:lang w:val="en-AU"/>
        </w:rPr>
        <w:t>Ibid 277.</w:t>
      </w:r>
    </w:p>
  </w:footnote>
  <w:footnote w:id="151">
    <w:p w14:paraId="2BA7F15B" w14:textId="28E35165" w:rsidR="00D86988" w:rsidRPr="00737B18" w:rsidRDefault="00D86988">
      <w:pPr>
        <w:pStyle w:val="FootnoteText"/>
        <w:rPr>
          <w:lang w:val="en-AU"/>
        </w:rPr>
      </w:pPr>
      <w:r>
        <w:rPr>
          <w:rStyle w:val="FootnoteReference"/>
        </w:rPr>
        <w:footnoteRef/>
      </w:r>
      <w:r>
        <w:t xml:space="preserve"> </w:t>
      </w:r>
      <w:r>
        <w:rPr>
          <w:i/>
          <w:lang w:val="en-AU"/>
        </w:rPr>
        <w:t xml:space="preserve">Austin v Commonwealth </w:t>
      </w:r>
      <w:r>
        <w:rPr>
          <w:lang w:val="en-AU"/>
        </w:rPr>
        <w:t xml:space="preserve">(2003) 215 CLR 185, 247 (Gaudron, Gummow and Hayne JJ); </w:t>
      </w:r>
      <w:r>
        <w:rPr>
          <w:i/>
          <w:lang w:val="en-AU"/>
        </w:rPr>
        <w:t xml:space="preserve">Permanent Trustee </w:t>
      </w:r>
      <w:r>
        <w:rPr>
          <w:lang w:val="en-AU"/>
        </w:rPr>
        <w:t>(2004) 220 CLR 388, 424 (Gleeson CJ, Gummow, Hayne, Callinan and Heydon JJ).</w:t>
      </w:r>
    </w:p>
  </w:footnote>
  <w:footnote w:id="152">
    <w:p w14:paraId="6A51CCBC" w14:textId="3E197BED" w:rsidR="00D86988" w:rsidRPr="00B33CEA" w:rsidRDefault="00D86988">
      <w:pPr>
        <w:pStyle w:val="FootnoteText"/>
        <w:rPr>
          <w:lang w:val="en-AU"/>
        </w:rPr>
      </w:pPr>
      <w:r>
        <w:rPr>
          <w:rStyle w:val="FootnoteReference"/>
        </w:rPr>
        <w:footnoteRef/>
      </w:r>
      <w:r>
        <w:t xml:space="preserve"> </w:t>
      </w:r>
      <w:r>
        <w:rPr>
          <w:i/>
          <w:lang w:val="en-AU"/>
        </w:rPr>
        <w:t xml:space="preserve">Bayside City Council v Telstra Corporation Ltd </w:t>
      </w:r>
      <w:r>
        <w:rPr>
          <w:lang w:val="en-AU"/>
        </w:rPr>
        <w:t xml:space="preserve">(2004) 216 CLR 595, 630 (Gleeson CJ, Gummow, Kirby, Hayne and Heydon JJ). </w:t>
      </w:r>
    </w:p>
  </w:footnote>
  <w:footnote w:id="153">
    <w:p w14:paraId="5042C1BB" w14:textId="5C65EF34" w:rsidR="00D86988" w:rsidRPr="00BF6F8E" w:rsidRDefault="00D86988">
      <w:pPr>
        <w:pStyle w:val="FootnoteText"/>
        <w:rPr>
          <w:lang w:val="en-AU"/>
        </w:rPr>
      </w:pPr>
      <w:r>
        <w:rPr>
          <w:rStyle w:val="FootnoteReference"/>
        </w:rPr>
        <w:footnoteRef/>
      </w:r>
      <w:r>
        <w:t xml:space="preserve"> </w:t>
      </w:r>
      <w:r>
        <w:rPr>
          <w:lang w:val="en-AU"/>
        </w:rPr>
        <w:t xml:space="preserve">Simpson reached a similar conclusion in relation to s 117: above n </w:t>
      </w:r>
      <w:r>
        <w:rPr>
          <w:lang w:val="en-AU"/>
        </w:rPr>
        <w:fldChar w:fldCharType="begin"/>
      </w:r>
      <w:r>
        <w:rPr>
          <w:lang w:val="en-AU"/>
        </w:rPr>
        <w:instrText xml:space="preserve"> NOTEREF _Ref449350353 \h </w:instrText>
      </w:r>
      <w:r>
        <w:rPr>
          <w:lang w:val="en-AU"/>
        </w:rPr>
      </w:r>
      <w:r>
        <w:rPr>
          <w:lang w:val="en-AU"/>
        </w:rPr>
        <w:fldChar w:fldCharType="separate"/>
      </w:r>
      <w:r>
        <w:rPr>
          <w:lang w:val="en-AU"/>
        </w:rPr>
        <w:t>88</w:t>
      </w:r>
      <w:r>
        <w:rPr>
          <w:lang w:val="en-AU"/>
        </w:rPr>
        <w:fldChar w:fldCharType="end"/>
      </w:r>
      <w:r>
        <w:rPr>
          <w:lang w:val="en-AU"/>
        </w:rPr>
        <w:t xml:space="preserve">, 663-4. </w:t>
      </w:r>
    </w:p>
  </w:footnote>
  <w:footnote w:id="154">
    <w:p w14:paraId="4CB556C8" w14:textId="4773D08F" w:rsidR="00D86988" w:rsidRPr="002B276F" w:rsidRDefault="00D86988">
      <w:pPr>
        <w:pStyle w:val="FootnoteText"/>
        <w:rPr>
          <w:lang w:val="en-AU"/>
        </w:rPr>
      </w:pPr>
      <w:r>
        <w:rPr>
          <w:rStyle w:val="FootnoteReference"/>
        </w:rPr>
        <w:footnoteRef/>
      </w:r>
      <w:r>
        <w:t xml:space="preserve"> </w:t>
      </w:r>
      <w:r>
        <w:rPr>
          <w:lang w:val="en-AU"/>
        </w:rPr>
        <w:t xml:space="preserve">Simpson, above </w:t>
      </w:r>
      <w:r>
        <w:rPr>
          <w:szCs w:val="16"/>
        </w:rPr>
        <w:t xml:space="preserve">n </w:t>
      </w:r>
      <w:r>
        <w:rPr>
          <w:szCs w:val="16"/>
        </w:rPr>
        <w:fldChar w:fldCharType="begin"/>
      </w:r>
      <w:r>
        <w:rPr>
          <w:szCs w:val="16"/>
        </w:rPr>
        <w:instrText xml:space="preserve"> NOTEREF _Ref449475973 \h </w:instrText>
      </w:r>
      <w:r>
        <w:rPr>
          <w:szCs w:val="16"/>
        </w:rPr>
      </w:r>
      <w:r>
        <w:rPr>
          <w:szCs w:val="16"/>
        </w:rPr>
        <w:fldChar w:fldCharType="separate"/>
      </w:r>
      <w:r>
        <w:rPr>
          <w:szCs w:val="16"/>
        </w:rPr>
        <w:t>61</w:t>
      </w:r>
      <w:r>
        <w:rPr>
          <w:szCs w:val="16"/>
        </w:rPr>
        <w:fldChar w:fldCharType="end"/>
      </w:r>
      <w:r>
        <w:rPr>
          <w:lang w:val="en-AU"/>
        </w:rPr>
        <w:t>, 278.</w:t>
      </w:r>
    </w:p>
  </w:footnote>
  <w:footnote w:id="155">
    <w:p w14:paraId="353C0F18" w14:textId="19908419" w:rsidR="00D86988" w:rsidRPr="001A6BA6" w:rsidRDefault="00D86988">
      <w:pPr>
        <w:pStyle w:val="FootnoteText"/>
        <w:rPr>
          <w:lang w:val="en-AU"/>
        </w:rPr>
      </w:pPr>
      <w:r>
        <w:rPr>
          <w:rStyle w:val="FootnoteReference"/>
        </w:rPr>
        <w:footnoteRef/>
      </w:r>
      <w:r>
        <w:t xml:space="preserve"> See, eg, </w:t>
      </w:r>
      <w:r>
        <w:rPr>
          <w:i/>
        </w:rPr>
        <w:t>ITAA 1997</w:t>
      </w:r>
      <w:r>
        <w:t xml:space="preserve"> div 392, which allows individuals carrying on primary production businesses to pay income tax based on their average taxable income over the preceding five years.</w:t>
      </w:r>
    </w:p>
  </w:footnote>
  <w:footnote w:id="156">
    <w:p w14:paraId="31AB5BD2" w14:textId="12625DAD" w:rsidR="00D86988" w:rsidRPr="00AD1AA6" w:rsidRDefault="00D86988">
      <w:pPr>
        <w:pStyle w:val="FootnoteText"/>
        <w:rPr>
          <w:lang w:val="en-AU"/>
        </w:rPr>
      </w:pPr>
      <w:r>
        <w:rPr>
          <w:rStyle w:val="FootnoteReference"/>
        </w:rPr>
        <w:footnoteRef/>
      </w:r>
      <w:r>
        <w:t xml:space="preserve"> </w:t>
      </w:r>
      <w:r>
        <w:rPr>
          <w:lang w:val="en-AU"/>
        </w:rPr>
        <w:t>See Part V(C).</w:t>
      </w:r>
    </w:p>
  </w:footnote>
  <w:footnote w:id="157">
    <w:p w14:paraId="059431D3" w14:textId="202AB174" w:rsidR="00D86988" w:rsidRPr="006237DB" w:rsidRDefault="00D86988" w:rsidP="00C70B78">
      <w:pPr>
        <w:pStyle w:val="FootnoteText"/>
        <w:rPr>
          <w:i/>
          <w:lang w:val="en-AU"/>
        </w:rPr>
      </w:pPr>
      <w:r>
        <w:rPr>
          <w:rStyle w:val="FootnoteReference"/>
        </w:rPr>
        <w:footnoteRef/>
      </w:r>
      <w:r>
        <w:t xml:space="preserve"> </w:t>
      </w:r>
      <w:r>
        <w:rPr>
          <w:i/>
          <w:lang w:val="en-AU"/>
        </w:rPr>
        <w:t xml:space="preserve">McCloy v New South Wales </w:t>
      </w:r>
      <w:r>
        <w:rPr>
          <w:lang w:val="en-AU"/>
        </w:rPr>
        <w:t>(2015) 89 ALJR 857, 873 (French CJ, Kiefel, Bell and Keane JJ) (‘</w:t>
      </w:r>
      <w:r>
        <w:rPr>
          <w:i/>
          <w:lang w:val="en-AU"/>
        </w:rPr>
        <w:t>McCloy</w:t>
      </w:r>
      <w:r>
        <w:rPr>
          <w:lang w:val="en-AU"/>
        </w:rPr>
        <w:t>’).</w:t>
      </w:r>
    </w:p>
  </w:footnote>
  <w:footnote w:id="158">
    <w:p w14:paraId="78BEFDB4" w14:textId="77777777" w:rsidR="00D86988" w:rsidRPr="00CA73DB" w:rsidRDefault="00D86988" w:rsidP="004E00F3">
      <w:pPr>
        <w:pStyle w:val="FootnoteText"/>
        <w:rPr>
          <w:lang w:val="en-AU"/>
        </w:rPr>
      </w:pPr>
      <w:r>
        <w:rPr>
          <w:rStyle w:val="FootnoteReference"/>
        </w:rPr>
        <w:footnoteRef/>
      </w:r>
      <w:r>
        <w:t xml:space="preserve"> </w:t>
      </w:r>
      <w:r>
        <w:rPr>
          <w:lang w:val="en-AU"/>
        </w:rPr>
        <w:t>(2013) 250 CLR 548, 561-2.</w:t>
      </w:r>
    </w:p>
  </w:footnote>
  <w:footnote w:id="159">
    <w:p w14:paraId="5217E3F1" w14:textId="77777777" w:rsidR="00D86988" w:rsidRPr="00CA73DB" w:rsidRDefault="00D86988" w:rsidP="004E00F3">
      <w:pPr>
        <w:pStyle w:val="FootnoteText"/>
        <w:rPr>
          <w:lang w:val="en-AU"/>
        </w:rPr>
      </w:pPr>
      <w:r>
        <w:rPr>
          <w:rStyle w:val="FootnoteReference"/>
        </w:rPr>
        <w:footnoteRef/>
      </w:r>
      <w:r>
        <w:t xml:space="preserve"> </w:t>
      </w:r>
      <w:r>
        <w:rPr>
          <w:lang w:val="en-AU"/>
        </w:rPr>
        <w:t>Ibid 572.</w:t>
      </w:r>
    </w:p>
  </w:footnote>
  <w:footnote w:id="160">
    <w:p w14:paraId="799070A2" w14:textId="77777777" w:rsidR="00D86988" w:rsidRPr="00EB7CD6" w:rsidRDefault="00D86988" w:rsidP="004E00F3">
      <w:pPr>
        <w:pStyle w:val="FootnoteText"/>
        <w:rPr>
          <w:lang w:val="en-AU"/>
        </w:rPr>
      </w:pPr>
      <w:r>
        <w:rPr>
          <w:rStyle w:val="FootnoteReference"/>
        </w:rPr>
        <w:footnoteRef/>
      </w:r>
      <w:r>
        <w:t xml:space="preserve"> </w:t>
      </w:r>
      <w:r>
        <w:rPr>
          <w:lang w:val="en-AU"/>
        </w:rPr>
        <w:t>Ibid 561, 585-6.</w:t>
      </w:r>
    </w:p>
  </w:footnote>
  <w:footnote w:id="161">
    <w:p w14:paraId="353E001F" w14:textId="77777777" w:rsidR="00D86988" w:rsidRPr="00981DFA" w:rsidRDefault="00D86988" w:rsidP="004E00F3">
      <w:pPr>
        <w:pStyle w:val="FootnoteText"/>
        <w:rPr>
          <w:lang w:val="en-AU"/>
        </w:rPr>
      </w:pPr>
      <w:r>
        <w:rPr>
          <w:rStyle w:val="FootnoteReference"/>
        </w:rPr>
        <w:footnoteRef/>
      </w:r>
      <w:r>
        <w:t xml:space="preserve"> </w:t>
      </w:r>
      <w:r>
        <w:rPr>
          <w:lang w:val="en-AU"/>
        </w:rPr>
        <w:t xml:space="preserve">Clark, above n </w:t>
      </w:r>
      <w:r>
        <w:rPr>
          <w:lang w:val="en-AU"/>
        </w:rPr>
        <w:fldChar w:fldCharType="begin"/>
      </w:r>
      <w:r>
        <w:rPr>
          <w:lang w:val="en-AU"/>
        </w:rPr>
        <w:instrText xml:space="preserve"> NOTEREF _Ref446266855 \h </w:instrText>
      </w:r>
      <w:r>
        <w:rPr>
          <w:lang w:val="en-AU"/>
        </w:rPr>
      </w:r>
      <w:r>
        <w:rPr>
          <w:lang w:val="en-AU"/>
        </w:rPr>
        <w:fldChar w:fldCharType="separate"/>
      </w:r>
      <w:r>
        <w:rPr>
          <w:lang w:val="en-AU"/>
        </w:rPr>
        <w:t>122</w:t>
      </w:r>
      <w:r>
        <w:rPr>
          <w:lang w:val="en-AU"/>
        </w:rPr>
        <w:fldChar w:fldCharType="end"/>
      </w:r>
      <w:r>
        <w:rPr>
          <w:lang w:val="en-AU"/>
        </w:rPr>
        <w:t>, 796.</w:t>
      </w:r>
    </w:p>
  </w:footnote>
  <w:footnote w:id="162">
    <w:p w14:paraId="2697761C" w14:textId="77777777" w:rsidR="00D86988" w:rsidRPr="0088508F" w:rsidRDefault="00D86988" w:rsidP="004E00F3">
      <w:pPr>
        <w:pStyle w:val="FootnoteText"/>
        <w:rPr>
          <w:lang w:val="en-AU"/>
        </w:rPr>
      </w:pPr>
      <w:r>
        <w:rPr>
          <w:rStyle w:val="FootnoteReference"/>
        </w:rPr>
        <w:footnoteRef/>
      </w:r>
      <w:r>
        <w:t xml:space="preserve"> </w:t>
      </w:r>
      <w:r>
        <w:rPr>
          <w:lang w:val="en-AU"/>
        </w:rPr>
        <w:t>(2013) 250 CLR 548, 624.</w:t>
      </w:r>
    </w:p>
  </w:footnote>
  <w:footnote w:id="163">
    <w:p w14:paraId="791854A5" w14:textId="6C3861FD" w:rsidR="00D86988" w:rsidRPr="00495D13" w:rsidRDefault="00D86988">
      <w:pPr>
        <w:pStyle w:val="FootnoteText"/>
        <w:rPr>
          <w:lang w:val="en-AU"/>
        </w:rPr>
      </w:pPr>
      <w:r>
        <w:rPr>
          <w:rStyle w:val="FootnoteReference"/>
        </w:rPr>
        <w:footnoteRef/>
      </w:r>
      <w:r>
        <w:t xml:space="preserve"> </w:t>
      </w:r>
      <w:r>
        <w:rPr>
          <w:lang w:val="en-AU"/>
        </w:rPr>
        <w:t xml:space="preserve">The CJEU has recognised various proper objectives in the context of taxation discrimination, including maintaining a balanced allocation of taxing rights between states, preventing double non-taxation and preventing tax avoidance: see, eg, </w:t>
      </w:r>
      <w:r>
        <w:rPr>
          <w:i/>
          <w:lang w:val="en-AU"/>
        </w:rPr>
        <w:t xml:space="preserve">Marks &amp; Spencer plc v Halsey </w:t>
      </w:r>
      <w:r>
        <w:rPr>
          <w:lang w:val="en-AU"/>
        </w:rPr>
        <w:t>(C-446/03) [2005] ECR I-10866, I-10880-3. Given the fundamental constitutional differences between the EU and Australia, this jurisprudence is irrelevant for present purposes: see Part VI(B).</w:t>
      </w:r>
    </w:p>
  </w:footnote>
  <w:footnote w:id="164">
    <w:p w14:paraId="09C6B288" w14:textId="55F88E02" w:rsidR="00D86988" w:rsidRPr="002F360A" w:rsidRDefault="00D86988">
      <w:pPr>
        <w:pStyle w:val="FootnoteText"/>
        <w:rPr>
          <w:lang w:val="en-AU"/>
        </w:rPr>
      </w:pPr>
      <w:r>
        <w:rPr>
          <w:rStyle w:val="FootnoteReference"/>
        </w:rPr>
        <w:footnoteRef/>
      </w:r>
      <w:r>
        <w:t xml:space="preserve"> </w:t>
      </w:r>
      <w:r>
        <w:rPr>
          <w:lang w:val="en-AU"/>
        </w:rPr>
        <w:t>See Part V(C).</w:t>
      </w:r>
    </w:p>
  </w:footnote>
  <w:footnote w:id="165">
    <w:p w14:paraId="587636B9" w14:textId="11F35405" w:rsidR="00D86988" w:rsidRPr="002F360A" w:rsidRDefault="00D86988">
      <w:pPr>
        <w:pStyle w:val="FootnoteText"/>
        <w:rPr>
          <w:lang w:val="en-AU"/>
        </w:rPr>
      </w:pPr>
      <w:r>
        <w:rPr>
          <w:rStyle w:val="FootnoteReference"/>
        </w:rPr>
        <w:footnoteRef/>
      </w:r>
      <w:r>
        <w:t xml:space="preserve"> </w:t>
      </w:r>
      <w:r>
        <w:rPr>
          <w:lang w:val="en-AU"/>
        </w:rPr>
        <w:t>Ibid.</w:t>
      </w:r>
    </w:p>
  </w:footnote>
  <w:footnote w:id="166">
    <w:p w14:paraId="49470141" w14:textId="785B4082" w:rsidR="00D86988" w:rsidRPr="0056675F" w:rsidRDefault="00D86988" w:rsidP="00BC4EEE">
      <w:pPr>
        <w:pStyle w:val="FootnoteText"/>
        <w:rPr>
          <w:lang w:val="en-AU"/>
        </w:rPr>
      </w:pPr>
      <w:r>
        <w:rPr>
          <w:rStyle w:val="FootnoteReference"/>
        </w:rPr>
        <w:footnoteRef/>
      </w:r>
      <w:r>
        <w:t xml:space="preserve"> </w:t>
      </w:r>
      <w:r>
        <w:rPr>
          <w:lang w:val="en-AU"/>
        </w:rPr>
        <w:t xml:space="preserve">The mirror tax legislation scheme was enacted by the Commonwealth and the states in response to the High Court’s decision that state taxation laws did not apply to Commonwealth places because the Commonwealth Parliament has exclusive legislative power in relation to Commonwealth places under s 52(i) of the </w:t>
      </w:r>
      <w:r>
        <w:rPr>
          <w:i/>
          <w:lang w:val="en-AU"/>
        </w:rPr>
        <w:t>Constitution</w:t>
      </w:r>
      <w:r>
        <w:rPr>
          <w:lang w:val="en-AU"/>
        </w:rPr>
        <w:t xml:space="preserve">: </w:t>
      </w:r>
      <w:r>
        <w:rPr>
          <w:i/>
          <w:lang w:val="en-AU"/>
        </w:rPr>
        <w:t xml:space="preserve">Allders International Pty Ltd </w:t>
      </w:r>
      <w:proofErr w:type="gramStart"/>
      <w:r>
        <w:rPr>
          <w:i/>
          <w:lang w:val="en-AU"/>
        </w:rPr>
        <w:t>v</w:t>
      </w:r>
      <w:proofErr w:type="gramEnd"/>
      <w:r>
        <w:rPr>
          <w:i/>
          <w:lang w:val="en-AU"/>
        </w:rPr>
        <w:t xml:space="preserve"> Commissioner of State Revenue (Vic) </w:t>
      </w:r>
      <w:r>
        <w:rPr>
          <w:lang w:val="en-AU"/>
        </w:rPr>
        <w:t>(1996) 186 CLR 630.</w:t>
      </w:r>
    </w:p>
  </w:footnote>
  <w:footnote w:id="167">
    <w:p w14:paraId="587533B1" w14:textId="38DD460B" w:rsidR="00D86988" w:rsidRPr="00BC4EEE" w:rsidRDefault="00D86988">
      <w:pPr>
        <w:pStyle w:val="FootnoteText"/>
        <w:rPr>
          <w:lang w:val="en-AU"/>
        </w:rPr>
      </w:pPr>
      <w:r>
        <w:rPr>
          <w:rStyle w:val="FootnoteReference"/>
        </w:rPr>
        <w:footnoteRef/>
      </w:r>
      <w:r>
        <w:t xml:space="preserve"> </w:t>
      </w:r>
      <w:r>
        <w:rPr>
          <w:lang w:val="en-AU"/>
        </w:rPr>
        <w:t xml:space="preserve">(2004) 220 CLR 388, 424-5 (Gleeson CJ, Gummow, Hayne, Callinan and Heydon JJ). </w:t>
      </w:r>
    </w:p>
  </w:footnote>
  <w:footnote w:id="168">
    <w:p w14:paraId="16BE5B7C" w14:textId="48006F10" w:rsidR="00D86988" w:rsidRPr="00CE074B" w:rsidRDefault="00D86988" w:rsidP="000F5910">
      <w:pPr>
        <w:pStyle w:val="FootnoteText"/>
        <w:rPr>
          <w:lang w:val="en-AU"/>
        </w:rPr>
      </w:pPr>
      <w:r>
        <w:rPr>
          <w:rStyle w:val="FootnoteReference"/>
        </w:rPr>
        <w:footnoteRef/>
      </w:r>
      <w:r>
        <w:t xml:space="preserve"> </w:t>
      </w:r>
      <w:r>
        <w:rPr>
          <w:i/>
          <w:lang w:val="en-AU"/>
        </w:rPr>
        <w:t>ITAA 1936</w:t>
      </w:r>
      <w:r>
        <w:rPr>
          <w:lang w:val="en-AU"/>
        </w:rPr>
        <w:t xml:space="preserve"> s 79</w:t>
      </w:r>
      <w:proofErr w:type="gramStart"/>
      <w:r>
        <w:rPr>
          <w:lang w:val="en-AU"/>
        </w:rPr>
        <w:t>A(</w:t>
      </w:r>
      <w:proofErr w:type="gramEnd"/>
      <w:r>
        <w:rPr>
          <w:lang w:val="en-AU"/>
        </w:rPr>
        <w:t>1) (emphasis added).</w:t>
      </w:r>
    </w:p>
  </w:footnote>
  <w:footnote w:id="169">
    <w:p w14:paraId="3C3A4921" w14:textId="3F05FF91" w:rsidR="00D86988" w:rsidRPr="00A33DEB" w:rsidRDefault="00D86988">
      <w:pPr>
        <w:pStyle w:val="FootnoteText"/>
        <w:rPr>
          <w:lang w:val="en-AU"/>
        </w:rPr>
      </w:pPr>
      <w:r>
        <w:rPr>
          <w:rStyle w:val="FootnoteReference"/>
        </w:rPr>
        <w:footnoteRef/>
      </w:r>
      <w:r>
        <w:t xml:space="preserve"> </w:t>
      </w:r>
      <w:r>
        <w:rPr>
          <w:i/>
          <w:lang w:val="en-AU"/>
        </w:rPr>
        <w:t xml:space="preserve">South Australia v Commonwealth </w:t>
      </w:r>
      <w:r>
        <w:rPr>
          <w:lang w:val="en-AU"/>
        </w:rPr>
        <w:t xml:space="preserve">(1942) 65 CLR 373, 432 (Latham CJ), 436 (Rich J), 453 (McTiernan J); </w:t>
      </w:r>
      <w:r>
        <w:rPr>
          <w:i/>
          <w:lang w:val="en-AU"/>
        </w:rPr>
        <w:t xml:space="preserve">Arthur Yates &amp; Co Pty Ltd </w:t>
      </w:r>
      <w:proofErr w:type="gramStart"/>
      <w:r>
        <w:rPr>
          <w:i/>
          <w:lang w:val="en-AU"/>
        </w:rPr>
        <w:t>v</w:t>
      </w:r>
      <w:proofErr w:type="gramEnd"/>
      <w:r>
        <w:rPr>
          <w:i/>
          <w:lang w:val="en-AU"/>
        </w:rPr>
        <w:t xml:space="preserve"> Vegetable Seeds Committee </w:t>
      </w:r>
      <w:r>
        <w:rPr>
          <w:lang w:val="en-AU"/>
        </w:rPr>
        <w:t>(1945) 72 CLR 37, 69-70 (Latham CJ).</w:t>
      </w:r>
    </w:p>
  </w:footnote>
  <w:footnote w:id="170">
    <w:p w14:paraId="1FC854FA" w14:textId="10F3DD85" w:rsidR="00D86988" w:rsidRPr="00CE074B" w:rsidRDefault="00D86988" w:rsidP="000F5910">
      <w:pPr>
        <w:pStyle w:val="FootnoteText"/>
        <w:rPr>
          <w:lang w:val="en-AU"/>
        </w:rPr>
      </w:pPr>
      <w:r>
        <w:rPr>
          <w:rStyle w:val="FootnoteReference"/>
        </w:rPr>
        <w:footnoteRef/>
      </w:r>
      <w:r>
        <w:t xml:space="preserve"> </w:t>
      </w:r>
      <w:r>
        <w:rPr>
          <w:lang w:val="en-AU"/>
        </w:rPr>
        <w:t xml:space="preserve">Explanatory Memorandum, Income Tax Assessment Bill 1945 (Cth) 20; Commonwealth, </w:t>
      </w:r>
      <w:r>
        <w:rPr>
          <w:i/>
          <w:lang w:val="en-AU"/>
        </w:rPr>
        <w:t xml:space="preserve">Parliamentary Debates, </w:t>
      </w:r>
      <w:r>
        <w:rPr>
          <w:lang w:val="en-AU"/>
        </w:rPr>
        <w:t xml:space="preserve">House of Representatives, 19 April 1945, </w:t>
      </w:r>
      <w:r>
        <w:t>924 (Joseph Chifley, Treasurer).</w:t>
      </w:r>
    </w:p>
  </w:footnote>
  <w:footnote w:id="171">
    <w:p w14:paraId="28BBCF93" w14:textId="09F68171" w:rsidR="00D86988" w:rsidRPr="0099208C" w:rsidRDefault="00D86988">
      <w:pPr>
        <w:pStyle w:val="FootnoteText"/>
        <w:rPr>
          <w:lang w:val="en-AU"/>
        </w:rPr>
      </w:pPr>
      <w:r>
        <w:rPr>
          <w:rStyle w:val="FootnoteReference"/>
        </w:rPr>
        <w:footnoteRef/>
      </w:r>
      <w:r>
        <w:t xml:space="preserve"> Explanatory Memorandum, </w:t>
      </w:r>
      <w:r w:rsidRPr="009A6786">
        <w:t>Tax and Superannuation L</w:t>
      </w:r>
      <w:r>
        <w:t>aws Amendment (2015 Measures No</w:t>
      </w:r>
      <w:r w:rsidRPr="009A6786">
        <w:t xml:space="preserve"> 5) Bill 2015</w:t>
      </w:r>
      <w:r>
        <w:t xml:space="preserve"> (Cth) 18; </w:t>
      </w:r>
      <w:r>
        <w:rPr>
          <w:lang w:val="en-AU"/>
        </w:rPr>
        <w:t xml:space="preserve">Commonwealth, </w:t>
      </w:r>
      <w:r>
        <w:rPr>
          <w:i/>
          <w:lang w:val="en-AU"/>
        </w:rPr>
        <w:t>Parliamentary Debates</w:t>
      </w:r>
      <w:r>
        <w:rPr>
          <w:lang w:val="en-AU"/>
        </w:rPr>
        <w:t>, House of Representatives, 15 October 2015, 11308 (Kelly O’Dwyer, Assistant Treasurer).</w:t>
      </w:r>
    </w:p>
  </w:footnote>
  <w:footnote w:id="172">
    <w:p w14:paraId="74C6FA52" w14:textId="77777777" w:rsidR="00D86988" w:rsidRPr="00AF6928" w:rsidRDefault="00D86988" w:rsidP="000F5910">
      <w:pPr>
        <w:pStyle w:val="FootnoteText"/>
        <w:rPr>
          <w:lang w:val="en-AU"/>
        </w:rPr>
      </w:pPr>
      <w:r>
        <w:rPr>
          <w:rStyle w:val="FootnoteReference"/>
        </w:rPr>
        <w:footnoteRef/>
      </w:r>
      <w:r>
        <w:t xml:space="preserve"> </w:t>
      </w:r>
      <w:r>
        <w:rPr>
          <w:lang w:val="en-AU"/>
        </w:rPr>
        <w:t>(1958) 100 CLR 246, 269.</w:t>
      </w:r>
    </w:p>
  </w:footnote>
  <w:footnote w:id="173">
    <w:p w14:paraId="03D6F4BE" w14:textId="77777777" w:rsidR="00D86988" w:rsidRPr="00DC7861" w:rsidRDefault="00D86988" w:rsidP="008D6F71">
      <w:pPr>
        <w:pStyle w:val="FootnoteText"/>
        <w:rPr>
          <w:lang w:val="en-AU"/>
        </w:rPr>
      </w:pPr>
      <w:r>
        <w:rPr>
          <w:rStyle w:val="FootnoteReference"/>
        </w:rPr>
        <w:footnoteRef/>
      </w:r>
      <w:r>
        <w:t xml:space="preserve"> </w:t>
      </w:r>
      <w:r>
        <w:rPr>
          <w:i/>
          <w:lang w:val="en-AU"/>
        </w:rPr>
        <w:t xml:space="preserve">Kruger v Commonwealth </w:t>
      </w:r>
      <w:r>
        <w:rPr>
          <w:lang w:val="en-AU"/>
        </w:rPr>
        <w:t>(1997) 190 CLR 1.</w:t>
      </w:r>
    </w:p>
  </w:footnote>
  <w:footnote w:id="174">
    <w:p w14:paraId="3901BD86" w14:textId="6D6B5899" w:rsidR="00D86988" w:rsidRPr="00A22046" w:rsidRDefault="00D86988">
      <w:pPr>
        <w:pStyle w:val="FootnoteText"/>
        <w:rPr>
          <w:lang w:val="en-AU"/>
        </w:rPr>
      </w:pPr>
      <w:r w:rsidRPr="009F1768">
        <w:rPr>
          <w:rStyle w:val="FootnoteReference"/>
        </w:rPr>
        <w:footnoteRef/>
      </w:r>
      <w:r w:rsidRPr="009F1768">
        <w:t xml:space="preserve"> </w:t>
      </w:r>
      <w:r>
        <w:t xml:space="preserve">Cheryl </w:t>
      </w:r>
      <w:r w:rsidRPr="009F1768">
        <w:rPr>
          <w:lang w:val="en-AU"/>
        </w:rPr>
        <w:t xml:space="preserve">Saunders, </w:t>
      </w:r>
      <w:r>
        <w:rPr>
          <w:lang w:val="en-AU"/>
        </w:rPr>
        <w:t xml:space="preserve">‘Fiscal Federalism – A General and Unholy Scramble’ in Gregory Craven (ed), </w:t>
      </w:r>
      <w:r>
        <w:rPr>
          <w:i/>
          <w:lang w:val="en-AU"/>
        </w:rPr>
        <w:t xml:space="preserve">Australian Federation: Towards the Second Century </w:t>
      </w:r>
      <w:r>
        <w:rPr>
          <w:lang w:val="en-AU"/>
        </w:rPr>
        <w:t>(Melbourne University Press, 1992) 101</w:t>
      </w:r>
      <w:r w:rsidRPr="009F1768">
        <w:rPr>
          <w:lang w:val="en-AU"/>
        </w:rPr>
        <w:t>, 125-6.</w:t>
      </w:r>
    </w:p>
  </w:footnote>
  <w:footnote w:id="175">
    <w:p w14:paraId="5181B6FD" w14:textId="0FD3AA46" w:rsidR="00D86988" w:rsidRPr="009E032B" w:rsidRDefault="00D86988">
      <w:pPr>
        <w:pStyle w:val="FootnoteText"/>
        <w:rPr>
          <w:lang w:val="en-AU"/>
        </w:rPr>
      </w:pPr>
      <w:r>
        <w:rPr>
          <w:rStyle w:val="FootnoteReference"/>
        </w:rPr>
        <w:footnoteRef/>
      </w:r>
      <w:r>
        <w:t xml:space="preserve"> Brian Galligan, ‘Fiscal federalism: then and now’ in Gabrielle Appleby, Nicholas Aroney and Thomas John (eds), </w:t>
      </w:r>
      <w:r>
        <w:rPr>
          <w:i/>
        </w:rPr>
        <w:t xml:space="preserve">The Future of Australian Federalism </w:t>
      </w:r>
      <w:r>
        <w:t xml:space="preserve">(Cambridge University Press, 2012) 320, 328. See also McLeish, above n </w:t>
      </w:r>
      <w:r>
        <w:fldChar w:fldCharType="begin"/>
      </w:r>
      <w:r>
        <w:instrText xml:space="preserve"> NOTEREF _Ref445897726 \h </w:instrText>
      </w:r>
      <w:r>
        <w:fldChar w:fldCharType="separate"/>
      </w:r>
      <w:r>
        <w:t>139</w:t>
      </w:r>
      <w:r>
        <w:fldChar w:fldCharType="end"/>
      </w:r>
      <w:r>
        <w:t xml:space="preserve">, 184. </w:t>
      </w:r>
    </w:p>
  </w:footnote>
  <w:footnote w:id="176">
    <w:p w14:paraId="481FC2A3" w14:textId="70B377BA" w:rsidR="00D86988" w:rsidRPr="00B95C4C" w:rsidRDefault="00D86988">
      <w:pPr>
        <w:pStyle w:val="FootnoteText"/>
        <w:rPr>
          <w:lang w:val="en-AU"/>
        </w:rPr>
      </w:pPr>
      <w:r>
        <w:rPr>
          <w:rStyle w:val="FootnoteReference"/>
        </w:rPr>
        <w:footnoteRef/>
      </w:r>
      <w:r>
        <w:t xml:space="preserve"> </w:t>
      </w:r>
      <w:r>
        <w:rPr>
          <w:lang w:val="en-AU"/>
        </w:rPr>
        <w:t xml:space="preserve">Saunders, above n </w:t>
      </w:r>
      <w:r>
        <w:rPr>
          <w:lang w:val="en-AU"/>
        </w:rPr>
        <w:fldChar w:fldCharType="begin"/>
      </w:r>
      <w:r>
        <w:rPr>
          <w:lang w:val="en-AU"/>
        </w:rPr>
        <w:instrText xml:space="preserve"> NOTEREF _Ref444440163 \h </w:instrText>
      </w:r>
      <w:r>
        <w:rPr>
          <w:lang w:val="en-AU"/>
        </w:rPr>
      </w:r>
      <w:r>
        <w:rPr>
          <w:lang w:val="en-AU"/>
        </w:rPr>
        <w:fldChar w:fldCharType="separate"/>
      </w:r>
      <w:r>
        <w:rPr>
          <w:lang w:val="en-AU"/>
        </w:rPr>
        <w:t>8</w:t>
      </w:r>
      <w:r>
        <w:rPr>
          <w:lang w:val="en-AU"/>
        </w:rPr>
        <w:fldChar w:fldCharType="end"/>
      </w:r>
      <w:r>
        <w:rPr>
          <w:lang w:val="en-AU"/>
        </w:rPr>
        <w:t>, 212.</w:t>
      </w:r>
    </w:p>
  </w:footnote>
  <w:footnote w:id="177">
    <w:p w14:paraId="45B8E286" w14:textId="4C547480" w:rsidR="00D86988" w:rsidRPr="009F6848" w:rsidRDefault="00D86988" w:rsidP="001964D1">
      <w:pPr>
        <w:pStyle w:val="FootnoteText"/>
        <w:rPr>
          <w:lang w:val="en-AU"/>
        </w:rPr>
      </w:pPr>
      <w:r>
        <w:rPr>
          <w:rStyle w:val="FootnoteReference"/>
        </w:rPr>
        <w:footnoteRef/>
      </w:r>
      <w:r>
        <w:t xml:space="preserve"> Rose, above </w:t>
      </w:r>
      <w:r>
        <w:rPr>
          <w:lang w:val="en-AU"/>
        </w:rPr>
        <w:t xml:space="preserve">n </w:t>
      </w:r>
      <w:r>
        <w:rPr>
          <w:lang w:val="en-AU"/>
        </w:rPr>
        <w:fldChar w:fldCharType="begin"/>
      </w:r>
      <w:r>
        <w:rPr>
          <w:lang w:val="en-AU"/>
        </w:rPr>
        <w:instrText xml:space="preserve"> NOTEREF _Ref449533330 \h </w:instrText>
      </w:r>
      <w:r>
        <w:rPr>
          <w:lang w:val="en-AU"/>
        </w:rPr>
      </w:r>
      <w:r>
        <w:rPr>
          <w:lang w:val="en-AU"/>
        </w:rPr>
        <w:fldChar w:fldCharType="separate"/>
      </w:r>
      <w:r>
        <w:rPr>
          <w:lang w:val="en-AU"/>
        </w:rPr>
        <w:t>14</w:t>
      </w:r>
      <w:r>
        <w:rPr>
          <w:lang w:val="en-AU"/>
        </w:rPr>
        <w:fldChar w:fldCharType="end"/>
      </w:r>
      <w:r>
        <w:t>, 63.</w:t>
      </w:r>
    </w:p>
  </w:footnote>
  <w:footnote w:id="178">
    <w:p w14:paraId="4C870817" w14:textId="6F4D2330" w:rsidR="00D86988" w:rsidRPr="000C0B73" w:rsidRDefault="00D86988">
      <w:pPr>
        <w:pStyle w:val="FootnoteText"/>
        <w:rPr>
          <w:lang w:val="en-AU"/>
        </w:rPr>
      </w:pPr>
      <w:r>
        <w:rPr>
          <w:rStyle w:val="FootnoteReference"/>
        </w:rPr>
        <w:footnoteRef/>
      </w:r>
      <w:r>
        <w:t xml:space="preserve"> </w:t>
      </w:r>
      <w:r>
        <w:rPr>
          <w:lang w:val="en-AU"/>
        </w:rPr>
        <w:t xml:space="preserve">See, eg, </w:t>
      </w:r>
      <w:r>
        <w:rPr>
          <w:i/>
          <w:lang w:val="en-AU"/>
        </w:rPr>
        <w:t xml:space="preserve">FEU </w:t>
      </w:r>
      <w:r>
        <w:rPr>
          <w:lang w:val="en-AU"/>
        </w:rPr>
        <w:t xml:space="preserve">art 176; Sascha Sardadvar, </w:t>
      </w:r>
      <w:r>
        <w:rPr>
          <w:i/>
          <w:lang w:val="en-AU"/>
        </w:rPr>
        <w:t xml:space="preserve">Economic Growth in the Regions of Europe </w:t>
      </w:r>
      <w:r>
        <w:rPr>
          <w:lang w:val="en-AU"/>
        </w:rPr>
        <w:t>(Physica-Verlag, 2011) 1-3.</w:t>
      </w:r>
    </w:p>
  </w:footnote>
  <w:footnote w:id="179">
    <w:p w14:paraId="2B126205" w14:textId="03A06FC0" w:rsidR="00D86988" w:rsidRPr="0019511F" w:rsidRDefault="00D86988">
      <w:pPr>
        <w:pStyle w:val="FootnoteText"/>
        <w:rPr>
          <w:lang w:val="en-AU"/>
        </w:rPr>
      </w:pPr>
      <w:r>
        <w:rPr>
          <w:rStyle w:val="FootnoteReference"/>
        </w:rPr>
        <w:footnoteRef/>
      </w:r>
      <w:r>
        <w:t xml:space="preserve"> </w:t>
      </w:r>
      <w:r>
        <w:rPr>
          <w:lang w:val="en-AU"/>
        </w:rPr>
        <w:t>[1940] AC 838, 859. See also Latham CJ: ‘[a]</w:t>
      </w:r>
      <w:r>
        <w:t xml:space="preserve"> wise differentiation based upon relevant circumstances is a necessary element in national policy’: </w:t>
      </w:r>
      <w:r>
        <w:rPr>
          <w:lang w:val="en-AU"/>
        </w:rPr>
        <w:t xml:space="preserve">(1939) 61 CLR 735, </w:t>
      </w:r>
      <w:r>
        <w:t>764.</w:t>
      </w:r>
    </w:p>
  </w:footnote>
  <w:footnote w:id="180">
    <w:p w14:paraId="41C64FCB" w14:textId="7721F614" w:rsidR="00D86988" w:rsidRPr="00991B68" w:rsidRDefault="00D86988">
      <w:pPr>
        <w:pStyle w:val="FootnoteText"/>
        <w:rPr>
          <w:lang w:val="en-AU"/>
        </w:rPr>
      </w:pPr>
      <w:r>
        <w:rPr>
          <w:rStyle w:val="FootnoteReference"/>
        </w:rPr>
        <w:footnoteRef/>
      </w:r>
      <w:r>
        <w:t xml:space="preserve"> </w:t>
      </w:r>
      <w:r>
        <w:rPr>
          <w:lang w:val="en-AU"/>
        </w:rPr>
        <w:t xml:space="preserve">Saunders, above n </w:t>
      </w:r>
      <w:r>
        <w:rPr>
          <w:lang w:val="en-AU"/>
        </w:rPr>
        <w:fldChar w:fldCharType="begin"/>
      </w:r>
      <w:r>
        <w:rPr>
          <w:lang w:val="en-AU"/>
        </w:rPr>
        <w:instrText xml:space="preserve"> NOTEREF _Ref449553670 \h </w:instrText>
      </w:r>
      <w:r>
        <w:rPr>
          <w:lang w:val="en-AU"/>
        </w:rPr>
      </w:r>
      <w:r>
        <w:rPr>
          <w:lang w:val="en-AU"/>
        </w:rPr>
        <w:fldChar w:fldCharType="separate"/>
      </w:r>
      <w:r>
        <w:rPr>
          <w:lang w:val="en-AU"/>
        </w:rPr>
        <w:t>174</w:t>
      </w:r>
      <w:r>
        <w:rPr>
          <w:lang w:val="en-AU"/>
        </w:rPr>
        <w:fldChar w:fldCharType="end"/>
      </w:r>
      <w:r>
        <w:rPr>
          <w:lang w:val="en-AU"/>
        </w:rPr>
        <w:t>, 113-6.</w:t>
      </w:r>
    </w:p>
  </w:footnote>
  <w:footnote w:id="181">
    <w:p w14:paraId="74398A4B" w14:textId="48A8A431" w:rsidR="00D86988" w:rsidRPr="00AB12FE" w:rsidRDefault="00D86988">
      <w:pPr>
        <w:pStyle w:val="FootnoteText"/>
        <w:rPr>
          <w:lang w:val="en-AU"/>
        </w:rPr>
      </w:pPr>
      <w:r>
        <w:rPr>
          <w:rStyle w:val="FootnoteReference"/>
        </w:rPr>
        <w:footnoteRef/>
      </w:r>
      <w:r>
        <w:t xml:space="preserve"> </w:t>
      </w:r>
      <w:r>
        <w:rPr>
          <w:lang w:val="en-AU"/>
        </w:rPr>
        <w:t xml:space="preserve">Michael Coper, ‘The Economic Framework of the Australian Federation: A Question of Balance’ in Gregory Craven (ed), </w:t>
      </w:r>
      <w:r>
        <w:rPr>
          <w:i/>
          <w:lang w:val="en-AU"/>
        </w:rPr>
        <w:t xml:space="preserve">Australian Federation: Towards the Second Century </w:t>
      </w:r>
      <w:r>
        <w:rPr>
          <w:lang w:val="en-AU"/>
        </w:rPr>
        <w:t>(Melbourne University Press, 1992) 131, 131-2, 142-3, 148-9.</w:t>
      </w:r>
    </w:p>
  </w:footnote>
  <w:footnote w:id="182">
    <w:p w14:paraId="41B73680" w14:textId="2148A5C8" w:rsidR="00D86988" w:rsidRPr="005055D4" w:rsidRDefault="00D86988">
      <w:pPr>
        <w:pStyle w:val="FootnoteText"/>
        <w:rPr>
          <w:lang w:val="en-AU"/>
        </w:rPr>
      </w:pPr>
      <w:r>
        <w:rPr>
          <w:rStyle w:val="FootnoteReference"/>
        </w:rPr>
        <w:footnoteRef/>
      </w:r>
      <w:r>
        <w:rPr>
          <w:lang w:val="en-AU"/>
        </w:rPr>
        <w:t xml:space="preserve"> Simpson, above n </w:t>
      </w:r>
      <w:r>
        <w:rPr>
          <w:lang w:val="en-AU"/>
        </w:rPr>
        <w:fldChar w:fldCharType="begin"/>
      </w:r>
      <w:r>
        <w:rPr>
          <w:lang w:val="en-AU"/>
        </w:rPr>
        <w:instrText xml:space="preserve"> NOTEREF _Ref449350353 \h </w:instrText>
      </w:r>
      <w:r>
        <w:rPr>
          <w:lang w:val="en-AU"/>
        </w:rPr>
      </w:r>
      <w:r>
        <w:rPr>
          <w:lang w:val="en-AU"/>
        </w:rPr>
        <w:fldChar w:fldCharType="separate"/>
      </w:r>
      <w:r>
        <w:rPr>
          <w:lang w:val="en-AU"/>
        </w:rPr>
        <w:t>88</w:t>
      </w:r>
      <w:r>
        <w:rPr>
          <w:lang w:val="en-AU"/>
        </w:rPr>
        <w:fldChar w:fldCharType="end"/>
      </w:r>
      <w:r>
        <w:rPr>
          <w:lang w:val="en-AU"/>
        </w:rPr>
        <w:t xml:space="preserve">, 663. In relation to s 51(ii), see Castan and Joseph, above n </w:t>
      </w:r>
      <w:r>
        <w:rPr>
          <w:lang w:val="en-AU"/>
        </w:rPr>
        <w:fldChar w:fldCharType="begin"/>
      </w:r>
      <w:r>
        <w:rPr>
          <w:lang w:val="en-AU"/>
        </w:rPr>
        <w:instrText xml:space="preserve"> NOTEREF _Ref445843111 \h </w:instrText>
      </w:r>
      <w:r>
        <w:rPr>
          <w:lang w:val="en-AU"/>
        </w:rPr>
      </w:r>
      <w:r>
        <w:rPr>
          <w:lang w:val="en-AU"/>
        </w:rPr>
        <w:fldChar w:fldCharType="separate"/>
      </w:r>
      <w:r>
        <w:rPr>
          <w:lang w:val="en-AU"/>
        </w:rPr>
        <w:t>63</w:t>
      </w:r>
      <w:r>
        <w:rPr>
          <w:lang w:val="en-AU"/>
        </w:rPr>
        <w:fldChar w:fldCharType="end"/>
      </w:r>
      <w:r>
        <w:rPr>
          <w:lang w:val="en-AU"/>
        </w:rPr>
        <w:t>, 372.</w:t>
      </w:r>
    </w:p>
  </w:footnote>
  <w:footnote w:id="183">
    <w:p w14:paraId="117D246C" w14:textId="32D75AC5" w:rsidR="00D86988" w:rsidRPr="002C44C8" w:rsidRDefault="00D86988">
      <w:pPr>
        <w:pStyle w:val="FootnoteText"/>
        <w:rPr>
          <w:lang w:val="en-AU"/>
        </w:rPr>
      </w:pPr>
      <w:r>
        <w:rPr>
          <w:rStyle w:val="FootnoteReference"/>
        </w:rPr>
        <w:footnoteRef/>
      </w:r>
      <w:r>
        <w:t xml:space="preserve"> </w:t>
      </w:r>
      <w:r>
        <w:rPr>
          <w:lang w:val="en-AU"/>
        </w:rPr>
        <w:t xml:space="preserve">Simpson, above n </w:t>
      </w:r>
      <w:r>
        <w:rPr>
          <w:lang w:val="en-AU"/>
        </w:rPr>
        <w:fldChar w:fldCharType="begin"/>
      </w:r>
      <w:r>
        <w:rPr>
          <w:lang w:val="en-AU"/>
        </w:rPr>
        <w:instrText xml:space="preserve"> NOTEREF _Ref449350353 \h </w:instrText>
      </w:r>
      <w:r>
        <w:rPr>
          <w:lang w:val="en-AU"/>
        </w:rPr>
      </w:r>
      <w:r>
        <w:rPr>
          <w:lang w:val="en-AU"/>
        </w:rPr>
        <w:fldChar w:fldCharType="separate"/>
      </w:r>
      <w:r>
        <w:rPr>
          <w:lang w:val="en-AU"/>
        </w:rPr>
        <w:t>88</w:t>
      </w:r>
      <w:r>
        <w:rPr>
          <w:lang w:val="en-AU"/>
        </w:rPr>
        <w:fldChar w:fldCharType="end"/>
      </w:r>
      <w:r>
        <w:rPr>
          <w:lang w:val="en-AU"/>
        </w:rPr>
        <w:t>, 665.</w:t>
      </w:r>
    </w:p>
  </w:footnote>
  <w:footnote w:id="184">
    <w:p w14:paraId="6DAC5585" w14:textId="77777777" w:rsidR="00D86988" w:rsidRPr="00DD474C" w:rsidRDefault="00D86988" w:rsidP="00FA44D5">
      <w:pPr>
        <w:pStyle w:val="FootnoteText"/>
        <w:rPr>
          <w:lang w:val="en-AU"/>
        </w:rPr>
      </w:pPr>
      <w:r>
        <w:rPr>
          <w:rStyle w:val="FootnoteReference"/>
        </w:rPr>
        <w:footnoteRef/>
      </w:r>
      <w:r>
        <w:t xml:space="preserve"> Anderson, above n </w:t>
      </w:r>
      <w:r>
        <w:fldChar w:fldCharType="begin"/>
      </w:r>
      <w:r>
        <w:instrText xml:space="preserve"> NOTEREF _Ref444440163 \h </w:instrText>
      </w:r>
      <w:r>
        <w:fldChar w:fldCharType="separate"/>
      </w:r>
      <w:r>
        <w:t>8</w:t>
      </w:r>
      <w:r>
        <w:fldChar w:fldCharType="end"/>
      </w:r>
      <w:r>
        <w:t>, 108.</w:t>
      </w:r>
    </w:p>
  </w:footnote>
  <w:footnote w:id="185">
    <w:p w14:paraId="740CF95B" w14:textId="16FE1588" w:rsidR="00D86988" w:rsidRPr="00D42D02" w:rsidRDefault="00D86988" w:rsidP="009E670B">
      <w:pPr>
        <w:pStyle w:val="FootnoteText"/>
        <w:rPr>
          <w:szCs w:val="20"/>
          <w:lang w:val="en-AU"/>
        </w:rPr>
      </w:pPr>
      <w:r>
        <w:rPr>
          <w:rStyle w:val="FootnoteReference"/>
        </w:rPr>
        <w:footnoteRef/>
      </w:r>
      <w:r>
        <w:t xml:space="preserve"> </w:t>
      </w:r>
      <w:r>
        <w:rPr>
          <w:lang w:val="en-AU"/>
        </w:rPr>
        <w:t xml:space="preserve">Quick and Garran, above n </w:t>
      </w:r>
      <w:r>
        <w:rPr>
          <w:lang w:val="en-AU"/>
        </w:rPr>
        <w:fldChar w:fldCharType="begin"/>
      </w:r>
      <w:r>
        <w:rPr>
          <w:lang w:val="en-AU"/>
        </w:rPr>
        <w:instrText xml:space="preserve"> NOTEREF _Ref442030115 \h </w:instrText>
      </w:r>
      <w:r>
        <w:rPr>
          <w:lang w:val="en-AU"/>
        </w:rPr>
      </w:r>
      <w:r>
        <w:rPr>
          <w:lang w:val="en-AU"/>
        </w:rPr>
        <w:fldChar w:fldCharType="separate"/>
      </w:r>
      <w:r>
        <w:rPr>
          <w:lang w:val="en-AU"/>
        </w:rPr>
        <w:t>43</w:t>
      </w:r>
      <w:r>
        <w:rPr>
          <w:lang w:val="en-AU"/>
        </w:rPr>
        <w:fldChar w:fldCharType="end"/>
      </w:r>
      <w:r>
        <w:rPr>
          <w:lang w:val="en-AU"/>
        </w:rPr>
        <w:t>, 912.</w:t>
      </w:r>
    </w:p>
  </w:footnote>
  <w:footnote w:id="186">
    <w:p w14:paraId="6B89E7E6" w14:textId="7B69862B" w:rsidR="00D86988" w:rsidRPr="00E03F9B" w:rsidRDefault="00D86988">
      <w:pPr>
        <w:pStyle w:val="FootnoteText"/>
        <w:rPr>
          <w:lang w:val="en-AU"/>
        </w:rPr>
      </w:pPr>
      <w:r>
        <w:rPr>
          <w:rStyle w:val="FootnoteReference"/>
        </w:rPr>
        <w:footnoteRef/>
      </w:r>
      <w:r>
        <w:t xml:space="preserve"> </w:t>
      </w:r>
      <w:r>
        <w:rPr>
          <w:lang w:val="en-AU"/>
        </w:rPr>
        <w:t xml:space="preserve">See further </w:t>
      </w:r>
      <w:r>
        <w:rPr>
          <w:i/>
          <w:lang w:val="en-AU"/>
        </w:rPr>
        <w:t xml:space="preserve">Guidelines on Regional State Aid for 2014-2020 </w:t>
      </w:r>
      <w:r>
        <w:rPr>
          <w:lang w:val="en-AU"/>
        </w:rPr>
        <w:t>[2013] OJ C 209/01.</w:t>
      </w:r>
    </w:p>
  </w:footnote>
  <w:footnote w:id="187">
    <w:p w14:paraId="2785EF74" w14:textId="3EA6F0D1" w:rsidR="00D86988" w:rsidRDefault="00D86988">
      <w:pPr>
        <w:pStyle w:val="FootnoteText"/>
        <w:rPr>
          <w:lang w:val="en-AU"/>
        </w:rPr>
      </w:pPr>
      <w:r>
        <w:rPr>
          <w:rStyle w:val="FootnoteReference"/>
        </w:rPr>
        <w:footnoteRef/>
      </w:r>
      <w:r>
        <w:t xml:space="preserve"> </w:t>
      </w:r>
      <w:r>
        <w:rPr>
          <w:i/>
        </w:rPr>
        <w:t xml:space="preserve">Federal Constitution of the Swiss Federation of 18 April 1999 </w:t>
      </w:r>
      <w:r>
        <w:rPr>
          <w:lang w:val="en-AU"/>
        </w:rPr>
        <w:t xml:space="preserve">arts 103, 127(2) [Federal Council (Switzerland) trans, </w:t>
      </w:r>
      <w:r w:rsidRPr="0076133F">
        <w:rPr>
          <w:i/>
          <w:lang w:val="en-AU"/>
        </w:rPr>
        <w:t>Bundesverfassung der Schweizerischen Eidgenossenschaft</w:t>
      </w:r>
      <w:r>
        <w:rPr>
          <w:lang w:val="en-AU"/>
        </w:rPr>
        <w:t xml:space="preserve"> (1999) </w:t>
      </w:r>
    </w:p>
    <w:p w14:paraId="37F7D9AB" w14:textId="76808469" w:rsidR="00D86988" w:rsidRPr="00FE2317" w:rsidRDefault="00D86988">
      <w:pPr>
        <w:pStyle w:val="FootnoteText"/>
        <w:rPr>
          <w:lang w:val="en-AU"/>
        </w:rPr>
      </w:pPr>
      <w:r>
        <w:rPr>
          <w:lang w:val="en-AU"/>
        </w:rPr>
        <w:t>&lt;</w:t>
      </w:r>
      <w:r w:rsidRPr="0076133F">
        <w:t xml:space="preserve"> </w:t>
      </w:r>
      <w:r w:rsidRPr="0076133F">
        <w:rPr>
          <w:lang w:val="en-AU"/>
        </w:rPr>
        <w:t xml:space="preserve">https://www.admin.ch/opc/en/classified-compilation/19995395/201506140000/101.pdf </w:t>
      </w:r>
      <w:r>
        <w:rPr>
          <w:lang w:val="en-AU"/>
        </w:rPr>
        <w:t>&gt;].</w:t>
      </w:r>
    </w:p>
  </w:footnote>
  <w:footnote w:id="188">
    <w:p w14:paraId="6A052E1C" w14:textId="77777777" w:rsidR="00D86988" w:rsidRDefault="00D86988">
      <w:pPr>
        <w:pStyle w:val="FootnoteText"/>
        <w:rPr>
          <w:lang w:val="en-AU"/>
        </w:rPr>
      </w:pPr>
      <w:r>
        <w:rPr>
          <w:rStyle w:val="FootnoteReference"/>
        </w:rPr>
        <w:footnoteRef/>
      </w:r>
      <w:r>
        <w:t xml:space="preserve"> </w:t>
      </w:r>
      <w:r>
        <w:rPr>
          <w:i/>
        </w:rPr>
        <w:t xml:space="preserve">Federal Law on Regional Policy </w:t>
      </w:r>
      <w:r>
        <w:t xml:space="preserve">(Switzerland) RS 901.0, 6 October 2006, art 12 [J Baughurst trans, Loi fédérale sur la politique régionale du 6 octobre 2006 RS 901.0]; Xavier Oberson and Howard Hull, </w:t>
      </w:r>
      <w:r>
        <w:rPr>
          <w:i/>
        </w:rPr>
        <w:t xml:space="preserve">Switzerland in International Tax Law </w:t>
      </w:r>
      <w:r>
        <w:t xml:space="preserve">(IBFD, 2011) 73-4; Federal Department of Finance (Switzerland), </w:t>
      </w:r>
      <w:r>
        <w:rPr>
          <w:i/>
        </w:rPr>
        <w:t xml:space="preserve">Federal, Cantonal and Communal Taxes </w:t>
      </w:r>
      <w:r>
        <w:t xml:space="preserve">(2016) 30, </w:t>
      </w:r>
      <w:r>
        <w:rPr>
          <w:lang w:val="en-AU"/>
        </w:rPr>
        <w:t>53-55 &lt;</w:t>
      </w:r>
      <w:r w:rsidRPr="0074084D">
        <w:rPr>
          <w:lang w:val="en-AU"/>
        </w:rPr>
        <w:t>https://www.estv.admin.ch/estv/en/home/allgemein/dokumentation/</w:t>
      </w:r>
    </w:p>
    <w:p w14:paraId="483A6B42" w14:textId="5E60987B" w:rsidR="00D86988" w:rsidRPr="00726F4F" w:rsidRDefault="00D86988">
      <w:pPr>
        <w:pStyle w:val="FootnoteText"/>
        <w:rPr>
          <w:lang w:val="en-AU"/>
        </w:rPr>
      </w:pPr>
      <w:r w:rsidRPr="0074084D">
        <w:rPr>
          <w:lang w:val="en-AU"/>
        </w:rPr>
        <w:t xml:space="preserve">publikationen/weitere-publikationen/kurzabriss-ueber-das-schweizerische-steuersystem.html </w:t>
      </w:r>
      <w:r>
        <w:rPr>
          <w:lang w:val="en-AU"/>
        </w:rPr>
        <w:t>&gt;.</w:t>
      </w:r>
    </w:p>
  </w:footnote>
  <w:footnote w:id="189">
    <w:p w14:paraId="5E9295F3" w14:textId="40B3A2B2" w:rsidR="00D86988" w:rsidRPr="004F28FC" w:rsidRDefault="00D86988" w:rsidP="006F3937">
      <w:pPr>
        <w:pStyle w:val="FootnoteText"/>
        <w:rPr>
          <w:lang w:val="en-AU"/>
        </w:rPr>
      </w:pPr>
      <w:r>
        <w:rPr>
          <w:rStyle w:val="FootnoteReference"/>
        </w:rPr>
        <w:footnoteRef/>
      </w:r>
      <w:r>
        <w:t xml:space="preserve"> </w:t>
      </w:r>
      <w:r>
        <w:rPr>
          <w:lang w:val="en-AU"/>
        </w:rPr>
        <w:t xml:space="preserve">(2013) 250 CLR 548, 584; cf Zone Allowances Inquiry, above n </w:t>
      </w:r>
      <w:r>
        <w:rPr>
          <w:lang w:val="en-AU"/>
        </w:rPr>
        <w:fldChar w:fldCharType="begin"/>
      </w:r>
      <w:r>
        <w:rPr>
          <w:lang w:val="en-AU"/>
        </w:rPr>
        <w:instrText xml:space="preserve"> NOTEREF _Ref449531365 \h </w:instrText>
      </w:r>
      <w:r>
        <w:rPr>
          <w:lang w:val="en-AU"/>
        </w:rPr>
      </w:r>
      <w:r>
        <w:rPr>
          <w:lang w:val="en-AU"/>
        </w:rPr>
        <w:fldChar w:fldCharType="separate"/>
      </w:r>
      <w:r>
        <w:rPr>
          <w:lang w:val="en-AU"/>
        </w:rPr>
        <w:t>25</w:t>
      </w:r>
      <w:r>
        <w:rPr>
          <w:lang w:val="en-AU"/>
        </w:rPr>
        <w:fldChar w:fldCharType="end"/>
      </w:r>
      <w:r>
        <w:rPr>
          <w:lang w:val="en-AU"/>
        </w:rPr>
        <w:t>, 5.</w:t>
      </w:r>
    </w:p>
  </w:footnote>
  <w:footnote w:id="190">
    <w:p w14:paraId="726C966B" w14:textId="77777777" w:rsidR="00D86988" w:rsidRPr="00030A96" w:rsidRDefault="00D86988" w:rsidP="00F655F8">
      <w:pPr>
        <w:pStyle w:val="FootnoteText"/>
        <w:rPr>
          <w:lang w:val="en-AU"/>
        </w:rPr>
      </w:pPr>
      <w:r>
        <w:rPr>
          <w:rStyle w:val="FootnoteReference"/>
        </w:rPr>
        <w:footnoteRef/>
      </w:r>
      <w:r>
        <w:t xml:space="preserve"> </w:t>
      </w:r>
      <w:r>
        <w:rPr>
          <w:i/>
        </w:rPr>
        <w:t xml:space="preserve">McCloy </w:t>
      </w:r>
      <w:r>
        <w:t xml:space="preserve">(2015) 89 ALJR 857, </w:t>
      </w:r>
      <w:r>
        <w:rPr>
          <w:lang w:val="en-AU"/>
        </w:rPr>
        <w:t>862-3 (French CJ, Kiefel, Bell and Keane JJ).</w:t>
      </w:r>
    </w:p>
  </w:footnote>
  <w:footnote w:id="191">
    <w:p w14:paraId="4AD378D6" w14:textId="77777777" w:rsidR="00D86988" w:rsidRPr="006E54BD" w:rsidRDefault="00D86988" w:rsidP="00F655F8">
      <w:pPr>
        <w:pStyle w:val="FootnoteText"/>
        <w:rPr>
          <w:lang w:val="en-AU"/>
        </w:rPr>
      </w:pPr>
      <w:r>
        <w:rPr>
          <w:rStyle w:val="FootnoteReference"/>
        </w:rPr>
        <w:footnoteRef/>
      </w:r>
      <w:r>
        <w:t xml:space="preserve"> </w:t>
      </w:r>
      <w:r>
        <w:rPr>
          <w:lang w:val="en-AU"/>
        </w:rPr>
        <w:t>Ibid 875.</w:t>
      </w:r>
    </w:p>
  </w:footnote>
  <w:footnote w:id="192">
    <w:p w14:paraId="2DCF8E39" w14:textId="77777777" w:rsidR="00D86988" w:rsidRPr="006E54BD" w:rsidRDefault="00D86988" w:rsidP="00F655F8">
      <w:pPr>
        <w:pStyle w:val="FootnoteText"/>
        <w:rPr>
          <w:lang w:val="en-AU"/>
        </w:rPr>
      </w:pPr>
      <w:r>
        <w:rPr>
          <w:rStyle w:val="FootnoteReference"/>
        </w:rPr>
        <w:footnoteRef/>
      </w:r>
      <w:r>
        <w:t xml:space="preserve"> </w:t>
      </w:r>
      <w:r>
        <w:rPr>
          <w:lang w:val="en-AU"/>
        </w:rPr>
        <w:t>Ibid 875-6.</w:t>
      </w:r>
    </w:p>
  </w:footnote>
  <w:footnote w:id="193">
    <w:p w14:paraId="0E8FEA71" w14:textId="77777777" w:rsidR="00D86988" w:rsidRPr="001F14FE" w:rsidRDefault="00D86988" w:rsidP="00F655F8">
      <w:pPr>
        <w:pStyle w:val="FootnoteText"/>
        <w:rPr>
          <w:lang w:val="en-AU"/>
        </w:rPr>
      </w:pPr>
      <w:r>
        <w:rPr>
          <w:rStyle w:val="FootnoteReference"/>
        </w:rPr>
        <w:footnoteRef/>
      </w:r>
      <w:r>
        <w:t xml:space="preserve"> </w:t>
      </w:r>
      <w:r>
        <w:rPr>
          <w:lang w:val="en-AU"/>
        </w:rPr>
        <w:t>Ibid 876.</w:t>
      </w:r>
    </w:p>
  </w:footnote>
  <w:footnote w:id="194">
    <w:p w14:paraId="42219A56" w14:textId="77777777" w:rsidR="00D86988" w:rsidRPr="00BB0E8A" w:rsidRDefault="00D86988" w:rsidP="00F655F8">
      <w:pPr>
        <w:pStyle w:val="FootnoteText"/>
        <w:rPr>
          <w:lang w:val="en-AU"/>
        </w:rPr>
      </w:pPr>
      <w:r>
        <w:rPr>
          <w:rStyle w:val="FootnoteReference"/>
        </w:rPr>
        <w:footnoteRef/>
      </w:r>
      <w:r>
        <w:t xml:space="preserve"> </w:t>
      </w:r>
      <w:r>
        <w:rPr>
          <w:lang w:val="en-AU"/>
        </w:rPr>
        <w:t>Ibid.</w:t>
      </w:r>
    </w:p>
  </w:footnote>
  <w:footnote w:id="195">
    <w:p w14:paraId="1261DB2A" w14:textId="7F72355F" w:rsidR="00D86988" w:rsidRPr="000F4F21" w:rsidRDefault="00D86988" w:rsidP="007810BA">
      <w:pPr>
        <w:pStyle w:val="FootnoteText"/>
        <w:rPr>
          <w:lang w:val="en-AU"/>
        </w:rPr>
      </w:pPr>
      <w:r>
        <w:rPr>
          <w:rStyle w:val="FootnoteReference"/>
        </w:rPr>
        <w:footnoteRef/>
      </w:r>
      <w:r>
        <w:t xml:space="preserve"> </w:t>
      </w:r>
      <w:r>
        <w:rPr>
          <w:lang w:val="en-AU"/>
        </w:rPr>
        <w:t xml:space="preserve">Ian Manning, ‘Income Tax Zone Rebates’ (2013) 68 </w:t>
      </w:r>
      <w:r>
        <w:rPr>
          <w:i/>
          <w:lang w:val="en-AU"/>
        </w:rPr>
        <w:t xml:space="preserve">National Economic Review </w:t>
      </w:r>
      <w:r>
        <w:rPr>
          <w:lang w:val="en-AU"/>
        </w:rPr>
        <w:t>23, 38.</w:t>
      </w:r>
    </w:p>
  </w:footnote>
  <w:footnote w:id="196">
    <w:p w14:paraId="4F218E42" w14:textId="1E439AB6" w:rsidR="00D86988" w:rsidRPr="000F4F21" w:rsidRDefault="00D86988" w:rsidP="007810BA">
      <w:pPr>
        <w:pStyle w:val="FootnoteText"/>
        <w:rPr>
          <w:lang w:val="en-AU"/>
        </w:rPr>
      </w:pPr>
      <w:r>
        <w:rPr>
          <w:rStyle w:val="FootnoteReference"/>
        </w:rPr>
        <w:footnoteRef/>
      </w:r>
      <w:r>
        <w:t xml:space="preserve"> Zone Allowances Inquiry, </w:t>
      </w:r>
      <w:r>
        <w:rPr>
          <w:lang w:val="en-AU"/>
        </w:rPr>
        <w:t xml:space="preserve">above n </w:t>
      </w:r>
      <w:r>
        <w:rPr>
          <w:lang w:val="en-AU"/>
        </w:rPr>
        <w:fldChar w:fldCharType="begin"/>
      </w:r>
      <w:r>
        <w:rPr>
          <w:lang w:val="en-AU"/>
        </w:rPr>
        <w:instrText xml:space="preserve"> NOTEREF _Ref449531365 \h </w:instrText>
      </w:r>
      <w:r>
        <w:rPr>
          <w:lang w:val="en-AU"/>
        </w:rPr>
      </w:r>
      <w:r>
        <w:rPr>
          <w:lang w:val="en-AU"/>
        </w:rPr>
        <w:fldChar w:fldCharType="separate"/>
      </w:r>
      <w:r>
        <w:rPr>
          <w:lang w:val="en-AU"/>
        </w:rPr>
        <w:t>25</w:t>
      </w:r>
      <w:r>
        <w:rPr>
          <w:lang w:val="en-AU"/>
        </w:rPr>
        <w:fldChar w:fldCharType="end"/>
      </w:r>
      <w:r>
        <w:rPr>
          <w:lang w:val="en-AU"/>
        </w:rPr>
        <w:t>, 1, 47.</w:t>
      </w:r>
    </w:p>
  </w:footnote>
  <w:footnote w:id="197">
    <w:p w14:paraId="555B5610" w14:textId="77777777" w:rsidR="00D86988" w:rsidRPr="00A26A9D" w:rsidRDefault="00D86988" w:rsidP="007810BA">
      <w:pPr>
        <w:pStyle w:val="FootnoteText"/>
        <w:rPr>
          <w:lang w:val="en-AU"/>
        </w:rPr>
      </w:pPr>
      <w:r>
        <w:rPr>
          <w:rStyle w:val="FootnoteReference"/>
        </w:rPr>
        <w:footnoteRef/>
      </w:r>
      <w:r>
        <w:t xml:space="preserve"> </w:t>
      </w:r>
      <w:r>
        <w:rPr>
          <w:lang w:val="en-AU"/>
        </w:rPr>
        <w:t>Ibid 33-4.</w:t>
      </w:r>
    </w:p>
  </w:footnote>
  <w:footnote w:id="198">
    <w:p w14:paraId="2C0186B8" w14:textId="548C3812" w:rsidR="00D86988" w:rsidRPr="007810BA" w:rsidRDefault="00D86988" w:rsidP="007810BA">
      <w:pPr>
        <w:pStyle w:val="FootnoteText"/>
        <w:rPr>
          <w:lang w:val="en-AU"/>
        </w:rPr>
      </w:pPr>
      <w:r>
        <w:rPr>
          <w:rStyle w:val="FootnoteReference"/>
        </w:rPr>
        <w:footnoteRef/>
      </w:r>
      <w:r>
        <w:t xml:space="preserve"> </w:t>
      </w:r>
      <w:r>
        <w:rPr>
          <w:lang w:val="en-AU"/>
        </w:rPr>
        <w:t xml:space="preserve">Manning, above n </w:t>
      </w:r>
      <w:r>
        <w:rPr>
          <w:lang w:val="en-AU"/>
        </w:rPr>
        <w:fldChar w:fldCharType="begin"/>
      </w:r>
      <w:r>
        <w:rPr>
          <w:lang w:val="en-AU"/>
        </w:rPr>
        <w:instrText xml:space="preserve"> NOTEREF _Ref449356155 \h </w:instrText>
      </w:r>
      <w:r>
        <w:rPr>
          <w:lang w:val="en-AU"/>
        </w:rPr>
      </w:r>
      <w:r>
        <w:rPr>
          <w:lang w:val="en-AU"/>
        </w:rPr>
        <w:fldChar w:fldCharType="separate"/>
      </w:r>
      <w:r>
        <w:rPr>
          <w:lang w:val="en-AU"/>
        </w:rPr>
        <w:t>195</w:t>
      </w:r>
      <w:r>
        <w:rPr>
          <w:lang w:val="en-AU"/>
        </w:rPr>
        <w:fldChar w:fldCharType="end"/>
      </w:r>
      <w:r>
        <w:rPr>
          <w:lang w:val="en-AU"/>
        </w:rPr>
        <w:t>, 47.</w:t>
      </w:r>
    </w:p>
  </w:footnote>
  <w:footnote w:id="199">
    <w:p w14:paraId="756264C4" w14:textId="76FDACA9" w:rsidR="00D86988" w:rsidRPr="00BE1261" w:rsidRDefault="00D86988">
      <w:pPr>
        <w:pStyle w:val="FootnoteText"/>
        <w:rPr>
          <w:lang w:val="en-AU"/>
        </w:rPr>
      </w:pPr>
      <w:r>
        <w:rPr>
          <w:rStyle w:val="FootnoteReference"/>
        </w:rPr>
        <w:footnoteRef/>
      </w:r>
      <w:r>
        <w:t xml:space="preserve"> </w:t>
      </w:r>
      <w:r>
        <w:rPr>
          <w:lang w:val="en-AU"/>
        </w:rPr>
        <w:t>(2013) 250 CLR 548, 567, 600, 606-7, 622-3, 634.</w:t>
      </w:r>
    </w:p>
  </w:footnote>
  <w:footnote w:id="200">
    <w:p w14:paraId="0D793C6E" w14:textId="7DAF067C" w:rsidR="00D86988" w:rsidRPr="00937F08" w:rsidRDefault="00D86988">
      <w:pPr>
        <w:pStyle w:val="FootnoteText"/>
        <w:rPr>
          <w:lang w:val="en-AU"/>
        </w:rPr>
      </w:pPr>
      <w:r>
        <w:rPr>
          <w:rStyle w:val="FootnoteReference"/>
        </w:rPr>
        <w:footnoteRef/>
      </w:r>
      <w:r>
        <w:t xml:space="preserve"> Zone Allowances Inquiry, </w:t>
      </w:r>
      <w:r>
        <w:rPr>
          <w:lang w:val="en-AU"/>
        </w:rPr>
        <w:t xml:space="preserve">above n </w:t>
      </w:r>
      <w:r>
        <w:rPr>
          <w:lang w:val="en-AU"/>
        </w:rPr>
        <w:fldChar w:fldCharType="begin"/>
      </w:r>
      <w:r>
        <w:rPr>
          <w:lang w:val="en-AU"/>
        </w:rPr>
        <w:instrText xml:space="preserve"> NOTEREF _Ref449531365 \h </w:instrText>
      </w:r>
      <w:r>
        <w:rPr>
          <w:lang w:val="en-AU"/>
        </w:rPr>
      </w:r>
      <w:r>
        <w:rPr>
          <w:lang w:val="en-AU"/>
        </w:rPr>
        <w:fldChar w:fldCharType="separate"/>
      </w:r>
      <w:r>
        <w:rPr>
          <w:lang w:val="en-AU"/>
        </w:rPr>
        <w:t>25</w:t>
      </w:r>
      <w:r>
        <w:rPr>
          <w:lang w:val="en-AU"/>
        </w:rPr>
        <w:fldChar w:fldCharType="end"/>
      </w:r>
      <w:r>
        <w:rPr>
          <w:lang w:val="en-AU"/>
        </w:rPr>
        <w:t>, 19.</w:t>
      </w:r>
    </w:p>
  </w:footnote>
  <w:footnote w:id="201">
    <w:p w14:paraId="469CF09E" w14:textId="24A366C6" w:rsidR="00D86988" w:rsidRPr="00937F08" w:rsidRDefault="00D86988">
      <w:pPr>
        <w:pStyle w:val="FootnoteText"/>
        <w:rPr>
          <w:lang w:val="en-AU"/>
        </w:rPr>
      </w:pPr>
      <w:r>
        <w:rPr>
          <w:rStyle w:val="FootnoteReference"/>
        </w:rPr>
        <w:footnoteRef/>
      </w:r>
      <w:r>
        <w:t xml:space="preserve"> </w:t>
      </w:r>
      <w:r>
        <w:rPr>
          <w:lang w:val="en-AU"/>
        </w:rPr>
        <w:t>Ibid 31.</w:t>
      </w:r>
    </w:p>
  </w:footnote>
  <w:footnote w:id="202">
    <w:p w14:paraId="3594F0CE" w14:textId="7184FDAE" w:rsidR="00D86988" w:rsidRPr="00F126F1" w:rsidRDefault="00D86988">
      <w:pPr>
        <w:pStyle w:val="FootnoteText"/>
        <w:rPr>
          <w:lang w:val="en-AU"/>
        </w:rPr>
      </w:pPr>
      <w:r>
        <w:rPr>
          <w:rStyle w:val="FootnoteReference"/>
        </w:rPr>
        <w:footnoteRef/>
      </w:r>
      <w:r>
        <w:t xml:space="preserve"> </w:t>
      </w:r>
      <w:r>
        <w:rPr>
          <w:lang w:val="en-AU"/>
        </w:rPr>
        <w:t xml:space="preserve">Manning, above n </w:t>
      </w:r>
      <w:r>
        <w:rPr>
          <w:lang w:val="en-AU"/>
        </w:rPr>
        <w:fldChar w:fldCharType="begin"/>
      </w:r>
      <w:r>
        <w:rPr>
          <w:lang w:val="en-AU"/>
        </w:rPr>
        <w:instrText xml:space="preserve"> NOTEREF _Ref449356155 \h </w:instrText>
      </w:r>
      <w:r>
        <w:rPr>
          <w:lang w:val="en-AU"/>
        </w:rPr>
      </w:r>
      <w:r>
        <w:rPr>
          <w:lang w:val="en-AU"/>
        </w:rPr>
        <w:fldChar w:fldCharType="separate"/>
      </w:r>
      <w:r>
        <w:rPr>
          <w:lang w:val="en-AU"/>
        </w:rPr>
        <w:t>195</w:t>
      </w:r>
      <w:r>
        <w:rPr>
          <w:lang w:val="en-AU"/>
        </w:rPr>
        <w:fldChar w:fldCharType="end"/>
      </w:r>
      <w:r>
        <w:rPr>
          <w:lang w:val="en-AU"/>
        </w:rPr>
        <w:t>, 33.</w:t>
      </w:r>
    </w:p>
  </w:footnote>
  <w:footnote w:id="203">
    <w:p w14:paraId="3E156EB6" w14:textId="7F174311" w:rsidR="00D86988" w:rsidRPr="00F6319E" w:rsidRDefault="00D86988">
      <w:pPr>
        <w:pStyle w:val="FootnoteText"/>
        <w:rPr>
          <w:lang w:val="en-AU"/>
        </w:rPr>
      </w:pPr>
      <w:r>
        <w:rPr>
          <w:rStyle w:val="FootnoteReference"/>
        </w:rPr>
        <w:footnoteRef/>
      </w:r>
      <w:r>
        <w:t xml:space="preserve"> </w:t>
      </w:r>
      <w:r>
        <w:rPr>
          <w:lang w:val="en-AU"/>
        </w:rPr>
        <w:t xml:space="preserve">Peter Harris and David Oliver, </w:t>
      </w:r>
      <w:r>
        <w:rPr>
          <w:i/>
          <w:lang w:val="en-AU"/>
        </w:rPr>
        <w:t xml:space="preserve">International Commercial Tax </w:t>
      </w:r>
      <w:r>
        <w:rPr>
          <w:lang w:val="en-AU"/>
        </w:rPr>
        <w:t>(Cambridge University Press, 2010) 59-60.</w:t>
      </w:r>
    </w:p>
  </w:footnote>
  <w:footnote w:id="204">
    <w:p w14:paraId="7F0B8BA3" w14:textId="539D08D8" w:rsidR="00D86988" w:rsidRPr="00391CF0" w:rsidRDefault="00D86988">
      <w:pPr>
        <w:pStyle w:val="FootnoteText"/>
        <w:rPr>
          <w:lang w:val="en-AU"/>
        </w:rPr>
      </w:pPr>
      <w:r>
        <w:rPr>
          <w:rStyle w:val="FootnoteReference"/>
        </w:rPr>
        <w:footnoteRef/>
      </w:r>
      <w:r>
        <w:t xml:space="preserve"> </w:t>
      </w:r>
      <w:r>
        <w:rPr>
          <w:lang w:val="en-AU"/>
        </w:rPr>
        <w:t>See Part VII(C).</w:t>
      </w:r>
    </w:p>
  </w:footnote>
  <w:footnote w:id="205">
    <w:p w14:paraId="4AF5315E" w14:textId="50687F09" w:rsidR="00D86988" w:rsidRPr="00DF48C6" w:rsidRDefault="00D86988" w:rsidP="00391CF0">
      <w:pPr>
        <w:pStyle w:val="FootnoteText"/>
        <w:rPr>
          <w:lang w:val="en-AU"/>
        </w:rPr>
      </w:pPr>
      <w:r>
        <w:rPr>
          <w:rStyle w:val="FootnoteReference"/>
        </w:rPr>
        <w:footnoteRef/>
      </w:r>
      <w:r>
        <w:t xml:space="preserve"> </w:t>
      </w:r>
      <w:r>
        <w:rPr>
          <w:lang w:val="en-AU"/>
        </w:rPr>
        <w:t xml:space="preserve">Manning, above n </w:t>
      </w:r>
      <w:r>
        <w:rPr>
          <w:lang w:val="en-AU"/>
        </w:rPr>
        <w:fldChar w:fldCharType="begin"/>
      </w:r>
      <w:r>
        <w:rPr>
          <w:lang w:val="en-AU"/>
        </w:rPr>
        <w:instrText xml:space="preserve"> NOTEREF _Ref449356155 \h </w:instrText>
      </w:r>
      <w:r>
        <w:rPr>
          <w:lang w:val="en-AU"/>
        </w:rPr>
      </w:r>
      <w:r>
        <w:rPr>
          <w:lang w:val="en-AU"/>
        </w:rPr>
        <w:fldChar w:fldCharType="separate"/>
      </w:r>
      <w:r>
        <w:rPr>
          <w:lang w:val="en-AU"/>
        </w:rPr>
        <w:t>195</w:t>
      </w:r>
      <w:r>
        <w:rPr>
          <w:lang w:val="en-AU"/>
        </w:rPr>
        <w:fldChar w:fldCharType="end"/>
      </w:r>
      <w:r>
        <w:rPr>
          <w:lang w:val="en-AU"/>
        </w:rPr>
        <w:t>, 24.</w:t>
      </w:r>
    </w:p>
  </w:footnote>
  <w:footnote w:id="206">
    <w:p w14:paraId="0056D7B5" w14:textId="77777777" w:rsidR="00D86988" w:rsidRPr="0054695D" w:rsidRDefault="00D86988" w:rsidP="005E7237">
      <w:pPr>
        <w:pStyle w:val="FootnoteText"/>
        <w:rPr>
          <w:lang w:val="en-AU"/>
        </w:rPr>
      </w:pPr>
      <w:r>
        <w:rPr>
          <w:rStyle w:val="FootnoteReference"/>
        </w:rPr>
        <w:footnoteRef/>
      </w:r>
      <w:r>
        <w:t xml:space="preserve"> </w:t>
      </w:r>
      <w:r>
        <w:rPr>
          <w:i/>
          <w:lang w:val="en-AU"/>
        </w:rPr>
        <w:t xml:space="preserve">Tax and Superannuation Laws Amendment (2015 Measures No. 5) Act 2015 </w:t>
      </w:r>
      <w:r>
        <w:rPr>
          <w:lang w:val="en-AU"/>
        </w:rPr>
        <w:t>(Cth) s 3, sch 2.</w:t>
      </w:r>
    </w:p>
  </w:footnote>
  <w:footnote w:id="207">
    <w:p w14:paraId="1E128440" w14:textId="77777777" w:rsidR="00D86988" w:rsidRPr="00FD7DA1" w:rsidRDefault="00D86988" w:rsidP="005E7237">
      <w:pPr>
        <w:pStyle w:val="FootnoteText"/>
        <w:rPr>
          <w:lang w:val="en-AU"/>
        </w:rPr>
      </w:pPr>
      <w:r>
        <w:rPr>
          <w:rStyle w:val="FootnoteReference"/>
        </w:rPr>
        <w:footnoteRef/>
      </w:r>
      <w:r>
        <w:t xml:space="preserve"> </w:t>
      </w:r>
      <w:r>
        <w:rPr>
          <w:lang w:val="en-AU"/>
        </w:rPr>
        <w:t xml:space="preserve">Commonwealth, </w:t>
      </w:r>
      <w:r>
        <w:rPr>
          <w:i/>
          <w:lang w:val="en-AU"/>
        </w:rPr>
        <w:t>Parliamentary Debates</w:t>
      </w:r>
      <w:r>
        <w:rPr>
          <w:lang w:val="en-AU"/>
        </w:rPr>
        <w:t>, House of Representatives, 15 October 2015, 11308 (Kelly O’Dwyer, Assistant Treasurer) (emphasis added).</w:t>
      </w:r>
    </w:p>
  </w:footnote>
  <w:footnote w:id="208">
    <w:p w14:paraId="494F0077" w14:textId="203A505F" w:rsidR="00D86988" w:rsidRPr="00D411A0" w:rsidRDefault="00D86988" w:rsidP="005E7237">
      <w:pPr>
        <w:pStyle w:val="FootnoteText"/>
        <w:rPr>
          <w:lang w:val="en-AU"/>
        </w:rPr>
      </w:pPr>
      <w:r>
        <w:rPr>
          <w:rStyle w:val="FootnoteReference"/>
        </w:rPr>
        <w:footnoteRef/>
      </w:r>
      <w:r>
        <w:t xml:space="preserve"> </w:t>
      </w:r>
      <w:r>
        <w:rPr>
          <w:lang w:val="en-AU"/>
        </w:rPr>
        <w:t>Explanatory Memorandum, Tax and Superannuation Laws Amendment (2015 Measures No 5) Bill 2015 (Cth) 18.</w:t>
      </w:r>
    </w:p>
  </w:footnote>
  <w:footnote w:id="209">
    <w:p w14:paraId="22B43AE5" w14:textId="7A928927" w:rsidR="00D86988" w:rsidRPr="00A20BCD" w:rsidRDefault="00D86988" w:rsidP="002F16D6">
      <w:pPr>
        <w:pStyle w:val="FootnoteText"/>
        <w:rPr>
          <w:lang w:val="en-AU"/>
        </w:rPr>
      </w:pPr>
      <w:r>
        <w:rPr>
          <w:rStyle w:val="FootnoteReference"/>
        </w:rPr>
        <w:footnoteRef/>
      </w:r>
      <w:r>
        <w:t xml:space="preserve"> </w:t>
      </w:r>
      <w:r>
        <w:rPr>
          <w:lang w:val="en-AU"/>
        </w:rPr>
        <w:t xml:space="preserve">Commonwealth, </w:t>
      </w:r>
      <w:r>
        <w:rPr>
          <w:i/>
          <w:lang w:val="en-AU"/>
        </w:rPr>
        <w:t xml:space="preserve">Parliamentary Debates, </w:t>
      </w:r>
      <w:r>
        <w:rPr>
          <w:lang w:val="en-AU"/>
        </w:rPr>
        <w:t xml:space="preserve">House of Representatives, 19 April 1945, </w:t>
      </w:r>
      <w:r>
        <w:t>924 (Joseph Chifley, Treasurer).</w:t>
      </w:r>
    </w:p>
  </w:footnote>
  <w:footnote w:id="210">
    <w:p w14:paraId="77442C52" w14:textId="0542431B" w:rsidR="00D86988" w:rsidRPr="00810E08" w:rsidRDefault="00D86988" w:rsidP="002F16D6">
      <w:pPr>
        <w:pStyle w:val="FootnoteText"/>
        <w:rPr>
          <w:lang w:val="en-AU"/>
        </w:rPr>
      </w:pPr>
      <w:r>
        <w:rPr>
          <w:rStyle w:val="FootnoteReference"/>
        </w:rPr>
        <w:footnoteRef/>
      </w:r>
      <w:r>
        <w:t xml:space="preserve"> Zone Allowances Inquiry, </w:t>
      </w:r>
      <w:r>
        <w:rPr>
          <w:lang w:val="en-AU"/>
        </w:rPr>
        <w:t xml:space="preserve">above n </w:t>
      </w:r>
      <w:r>
        <w:rPr>
          <w:lang w:val="en-AU"/>
        </w:rPr>
        <w:fldChar w:fldCharType="begin"/>
      </w:r>
      <w:r>
        <w:rPr>
          <w:lang w:val="en-AU"/>
        </w:rPr>
        <w:instrText xml:space="preserve"> NOTEREF _Ref449531365 \h </w:instrText>
      </w:r>
      <w:r>
        <w:rPr>
          <w:lang w:val="en-AU"/>
        </w:rPr>
      </w:r>
      <w:r>
        <w:rPr>
          <w:lang w:val="en-AU"/>
        </w:rPr>
        <w:fldChar w:fldCharType="separate"/>
      </w:r>
      <w:r>
        <w:rPr>
          <w:lang w:val="en-AU"/>
        </w:rPr>
        <w:t>25</w:t>
      </w:r>
      <w:r>
        <w:rPr>
          <w:lang w:val="en-AU"/>
        </w:rPr>
        <w:fldChar w:fldCharType="end"/>
      </w:r>
      <w:r>
        <w:rPr>
          <w:lang w:val="en-AU"/>
        </w:rPr>
        <w:t>, 3.</w:t>
      </w:r>
    </w:p>
  </w:footnote>
  <w:footnote w:id="211">
    <w:p w14:paraId="15199031" w14:textId="15F8C68F" w:rsidR="00D86988" w:rsidRPr="00B05B03" w:rsidRDefault="00D86988">
      <w:pPr>
        <w:pStyle w:val="FootnoteText"/>
        <w:rPr>
          <w:lang w:val="en-AU"/>
        </w:rPr>
      </w:pPr>
      <w:r>
        <w:rPr>
          <w:rStyle w:val="FootnoteReference"/>
        </w:rPr>
        <w:footnoteRef/>
      </w:r>
      <w:r>
        <w:t xml:space="preserve"> Manning, above </w:t>
      </w:r>
      <w:r>
        <w:rPr>
          <w:lang w:val="en-AU"/>
        </w:rPr>
        <w:t xml:space="preserve">n </w:t>
      </w:r>
      <w:r>
        <w:rPr>
          <w:lang w:val="en-AU"/>
        </w:rPr>
        <w:fldChar w:fldCharType="begin"/>
      </w:r>
      <w:r>
        <w:rPr>
          <w:lang w:val="en-AU"/>
        </w:rPr>
        <w:instrText xml:space="preserve"> NOTEREF _Ref449356155 \h </w:instrText>
      </w:r>
      <w:r>
        <w:rPr>
          <w:lang w:val="en-AU"/>
        </w:rPr>
      </w:r>
      <w:r>
        <w:rPr>
          <w:lang w:val="en-AU"/>
        </w:rPr>
        <w:fldChar w:fldCharType="separate"/>
      </w:r>
      <w:r>
        <w:rPr>
          <w:lang w:val="en-AU"/>
        </w:rPr>
        <w:t>195</w:t>
      </w:r>
      <w:r>
        <w:rPr>
          <w:lang w:val="en-AU"/>
        </w:rPr>
        <w:fldChar w:fldCharType="end"/>
      </w:r>
      <w:r>
        <w:t>, 37.</w:t>
      </w:r>
    </w:p>
  </w:footnote>
  <w:footnote w:id="212">
    <w:p w14:paraId="0D15486A" w14:textId="77777777" w:rsidR="00D86988" w:rsidRPr="00941831" w:rsidRDefault="00D86988" w:rsidP="002A41F8">
      <w:pPr>
        <w:pStyle w:val="FootnoteText"/>
        <w:rPr>
          <w:lang w:val="en-AU"/>
        </w:rPr>
      </w:pPr>
      <w:r>
        <w:rPr>
          <w:rStyle w:val="FootnoteReference"/>
        </w:rPr>
        <w:footnoteRef/>
      </w:r>
      <w:r>
        <w:t xml:space="preserve"> </w:t>
      </w:r>
      <w:r>
        <w:rPr>
          <w:i/>
        </w:rPr>
        <w:t xml:space="preserve">Income Tax and Social Services Contribution Assessment Act (No. 3) 1956 </w:t>
      </w:r>
      <w:r>
        <w:t xml:space="preserve">(Cth) s 23; </w:t>
      </w:r>
      <w:r>
        <w:rPr>
          <w:i/>
        </w:rPr>
        <w:t xml:space="preserve">Income Tax Assessment Amendment Act 1982 </w:t>
      </w:r>
      <w:r>
        <w:t>(Cth) s 10.</w:t>
      </w:r>
    </w:p>
  </w:footnote>
  <w:footnote w:id="213">
    <w:p w14:paraId="2F72EE8D" w14:textId="77777777" w:rsidR="00D86988" w:rsidRPr="00B034CC" w:rsidRDefault="00D86988" w:rsidP="002A41F8">
      <w:pPr>
        <w:pStyle w:val="FootnoteText"/>
        <w:rPr>
          <w:lang w:val="en-AU"/>
        </w:rPr>
      </w:pPr>
      <w:r>
        <w:rPr>
          <w:rStyle w:val="FootnoteReference"/>
        </w:rPr>
        <w:footnoteRef/>
      </w:r>
      <w:r>
        <w:t xml:space="preserve"> </w:t>
      </w:r>
      <w:r>
        <w:rPr>
          <w:lang w:val="en-AU"/>
        </w:rPr>
        <w:t xml:space="preserve">Commonwealth, </w:t>
      </w:r>
      <w:r>
        <w:rPr>
          <w:i/>
          <w:lang w:val="en-AU"/>
        </w:rPr>
        <w:t xml:space="preserve">Parliamentary Debates, </w:t>
      </w:r>
      <w:r>
        <w:rPr>
          <w:lang w:val="en-AU"/>
        </w:rPr>
        <w:t>House of Representatives, 24 March 1982, 1368 (John Howard, Treasurer); Explanatory Memorandum, Income Tax Assessment Amendment Bill 1982 (Cth) 23.</w:t>
      </w:r>
    </w:p>
  </w:footnote>
  <w:footnote w:id="214">
    <w:p w14:paraId="6F97794E" w14:textId="15223677" w:rsidR="00D86988" w:rsidRPr="009D4F2E" w:rsidRDefault="00D86988">
      <w:pPr>
        <w:pStyle w:val="FootnoteText"/>
        <w:rPr>
          <w:lang w:val="en-AU"/>
        </w:rPr>
      </w:pPr>
      <w:r>
        <w:rPr>
          <w:rStyle w:val="FootnoteReference"/>
        </w:rPr>
        <w:footnoteRef/>
      </w:r>
      <w:r>
        <w:t xml:space="preserve"> Commonwealth, Australia’s Future Tax System Review, </w:t>
      </w:r>
      <w:r>
        <w:rPr>
          <w:i/>
        </w:rPr>
        <w:t xml:space="preserve">Report to the Treasurer </w:t>
      </w:r>
      <w:r>
        <w:t>(December 2009)</w:t>
      </w:r>
      <w:r>
        <w:rPr>
          <w:lang w:val="en-AU"/>
        </w:rPr>
        <w:t>, pt 2, vol 1, 90.</w:t>
      </w:r>
    </w:p>
  </w:footnote>
  <w:footnote w:id="215">
    <w:p w14:paraId="2B6D59A6" w14:textId="2DC4E4EF" w:rsidR="00D86988" w:rsidRPr="000A3392" w:rsidRDefault="00D86988">
      <w:pPr>
        <w:pStyle w:val="FootnoteText"/>
        <w:rPr>
          <w:lang w:val="en-AU"/>
        </w:rPr>
      </w:pPr>
      <w:r>
        <w:rPr>
          <w:rStyle w:val="FootnoteReference"/>
        </w:rPr>
        <w:footnoteRef/>
      </w:r>
      <w:r>
        <w:t xml:space="preserve"> Manning, above </w:t>
      </w:r>
      <w:r>
        <w:rPr>
          <w:lang w:val="en-AU"/>
        </w:rPr>
        <w:t xml:space="preserve">n </w:t>
      </w:r>
      <w:r>
        <w:rPr>
          <w:lang w:val="en-AU"/>
        </w:rPr>
        <w:fldChar w:fldCharType="begin"/>
      </w:r>
      <w:r>
        <w:rPr>
          <w:lang w:val="en-AU"/>
        </w:rPr>
        <w:instrText xml:space="preserve"> NOTEREF _Ref449356155 \h </w:instrText>
      </w:r>
      <w:r>
        <w:rPr>
          <w:lang w:val="en-AU"/>
        </w:rPr>
      </w:r>
      <w:r>
        <w:rPr>
          <w:lang w:val="en-AU"/>
        </w:rPr>
        <w:fldChar w:fldCharType="separate"/>
      </w:r>
      <w:r>
        <w:rPr>
          <w:lang w:val="en-AU"/>
        </w:rPr>
        <w:t>195</w:t>
      </w:r>
      <w:r>
        <w:rPr>
          <w:lang w:val="en-AU"/>
        </w:rPr>
        <w:fldChar w:fldCharType="end"/>
      </w:r>
      <w:r>
        <w:t>, 37.</w:t>
      </w:r>
    </w:p>
  </w:footnote>
  <w:footnote w:id="216">
    <w:p w14:paraId="2B682448" w14:textId="55AA7CF2" w:rsidR="00D86988" w:rsidRPr="0054695D" w:rsidRDefault="00D86988" w:rsidP="00642BAC">
      <w:pPr>
        <w:pStyle w:val="FootnoteText"/>
        <w:rPr>
          <w:lang w:val="en-AU"/>
        </w:rPr>
      </w:pPr>
      <w:r>
        <w:rPr>
          <w:rStyle w:val="FootnoteReference"/>
        </w:rPr>
        <w:footnoteRef/>
      </w:r>
      <w:r>
        <w:t xml:space="preserve"> </w:t>
      </w:r>
      <w:r>
        <w:rPr>
          <w:lang w:val="en-AU"/>
        </w:rPr>
        <w:t xml:space="preserve">Commonwealth, </w:t>
      </w:r>
      <w:r>
        <w:rPr>
          <w:i/>
          <w:lang w:val="en-AU"/>
        </w:rPr>
        <w:t xml:space="preserve">Our North, Our Future: White Paper on Developing Northern Australia </w:t>
      </w:r>
      <w:r>
        <w:rPr>
          <w:lang w:val="en-AU"/>
        </w:rPr>
        <w:t>(2015) 104.</w:t>
      </w:r>
    </w:p>
  </w:footnote>
  <w:footnote w:id="217">
    <w:p w14:paraId="6214015C" w14:textId="0C21C8CC" w:rsidR="00D86988" w:rsidRPr="000845A1" w:rsidRDefault="00D86988" w:rsidP="00D40DD6">
      <w:pPr>
        <w:pStyle w:val="FootnoteText"/>
        <w:rPr>
          <w:lang w:val="en-AU"/>
        </w:rPr>
      </w:pPr>
      <w:r>
        <w:rPr>
          <w:rStyle w:val="FootnoteReference"/>
        </w:rPr>
        <w:footnoteRef/>
      </w:r>
      <w:r>
        <w:t xml:space="preserve"> </w:t>
      </w:r>
      <w:r>
        <w:rPr>
          <w:lang w:val="en-AU"/>
        </w:rPr>
        <w:t xml:space="preserve">Rose, above n </w:t>
      </w:r>
      <w:r>
        <w:rPr>
          <w:lang w:val="en-AU"/>
        </w:rPr>
        <w:fldChar w:fldCharType="begin"/>
      </w:r>
      <w:r>
        <w:rPr>
          <w:lang w:val="en-AU"/>
        </w:rPr>
        <w:instrText xml:space="preserve"> NOTEREF _Ref449533330 \h </w:instrText>
      </w:r>
      <w:r>
        <w:rPr>
          <w:lang w:val="en-AU"/>
        </w:rPr>
      </w:r>
      <w:r>
        <w:rPr>
          <w:lang w:val="en-AU"/>
        </w:rPr>
        <w:fldChar w:fldCharType="separate"/>
      </w:r>
      <w:r>
        <w:rPr>
          <w:lang w:val="en-AU"/>
        </w:rPr>
        <w:t>14</w:t>
      </w:r>
      <w:r>
        <w:rPr>
          <w:lang w:val="en-AU"/>
        </w:rPr>
        <w:fldChar w:fldCharType="end"/>
      </w:r>
      <w:r>
        <w:rPr>
          <w:lang w:val="en-AU"/>
        </w:rPr>
        <w:t xml:space="preserve">, 67, referring to the arbitrariness in </w:t>
      </w:r>
      <w:r>
        <w:rPr>
          <w:i/>
          <w:lang w:val="en-AU"/>
        </w:rPr>
        <w:t>Cameron</w:t>
      </w:r>
      <w:r>
        <w:rPr>
          <w:lang w:val="en-AU"/>
        </w:rPr>
        <w:t>.</w:t>
      </w:r>
    </w:p>
  </w:footnote>
  <w:footnote w:id="218">
    <w:p w14:paraId="20FDECE1" w14:textId="04B8B185" w:rsidR="00D86988" w:rsidRPr="00A523AD" w:rsidRDefault="00D86988">
      <w:pPr>
        <w:pStyle w:val="FootnoteText"/>
        <w:rPr>
          <w:lang w:val="en-AU"/>
        </w:rPr>
      </w:pPr>
      <w:r>
        <w:rPr>
          <w:rStyle w:val="FootnoteReference"/>
        </w:rPr>
        <w:footnoteRef/>
      </w:r>
      <w:r>
        <w:t xml:space="preserve"> </w:t>
      </w:r>
      <w:r>
        <w:rPr>
          <w:lang w:val="en-AU"/>
        </w:rPr>
        <w:t xml:space="preserve">See further Australian Taxation Office, </w:t>
      </w:r>
      <w:r w:rsidRPr="00E45568">
        <w:rPr>
          <w:i/>
          <w:lang w:val="en-AU"/>
        </w:rPr>
        <w:t>Income Tax: Zone Rebate for Residents of Isolated Areas</w:t>
      </w:r>
      <w:r>
        <w:rPr>
          <w:lang w:val="en-AU"/>
        </w:rPr>
        <w:t xml:space="preserve">, TR 94/27, 25 August 1994, 6-7; Australian Taxation Office, </w:t>
      </w:r>
      <w:r>
        <w:rPr>
          <w:i/>
          <w:lang w:val="en-AU"/>
        </w:rPr>
        <w:t xml:space="preserve">The Australian Zone List, </w:t>
      </w:r>
      <w:r>
        <w:rPr>
          <w:lang w:val="en-AU"/>
        </w:rPr>
        <w:t xml:space="preserve">PSLA 2002/6, 4 February 2002, [1]. </w:t>
      </w:r>
    </w:p>
  </w:footnote>
  <w:footnote w:id="219">
    <w:p w14:paraId="3010F1BC" w14:textId="7491F0DF" w:rsidR="00D86988" w:rsidRPr="00DA1955" w:rsidRDefault="00D86988" w:rsidP="001B2C84">
      <w:pPr>
        <w:pStyle w:val="FootnoteText"/>
        <w:rPr>
          <w:lang w:val="en-AU"/>
        </w:rPr>
      </w:pPr>
      <w:r>
        <w:rPr>
          <w:rStyle w:val="FootnoteReference"/>
        </w:rPr>
        <w:footnoteRef/>
      </w:r>
      <w:r>
        <w:t xml:space="preserve"> Zone Allowances Inquiry, </w:t>
      </w:r>
      <w:r>
        <w:rPr>
          <w:lang w:val="en-AU"/>
        </w:rPr>
        <w:t xml:space="preserve">above n </w:t>
      </w:r>
      <w:r>
        <w:rPr>
          <w:lang w:val="en-AU"/>
        </w:rPr>
        <w:fldChar w:fldCharType="begin"/>
      </w:r>
      <w:r>
        <w:rPr>
          <w:lang w:val="en-AU"/>
        </w:rPr>
        <w:instrText xml:space="preserve"> NOTEREF _Ref449531365 \h </w:instrText>
      </w:r>
      <w:r>
        <w:rPr>
          <w:lang w:val="en-AU"/>
        </w:rPr>
      </w:r>
      <w:r>
        <w:rPr>
          <w:lang w:val="en-AU"/>
        </w:rPr>
        <w:fldChar w:fldCharType="separate"/>
      </w:r>
      <w:r>
        <w:rPr>
          <w:lang w:val="en-AU"/>
        </w:rPr>
        <w:t>25</w:t>
      </w:r>
      <w:r>
        <w:rPr>
          <w:lang w:val="en-AU"/>
        </w:rPr>
        <w:fldChar w:fldCharType="end"/>
      </w:r>
      <w:r>
        <w:rPr>
          <w:lang w:val="en-AU"/>
        </w:rPr>
        <w:t>, 6.</w:t>
      </w:r>
    </w:p>
  </w:footnote>
  <w:footnote w:id="220">
    <w:p w14:paraId="4BED86C3" w14:textId="365590B3" w:rsidR="00D86988" w:rsidRPr="00586A49" w:rsidRDefault="00D86988" w:rsidP="00737BD9">
      <w:pPr>
        <w:pStyle w:val="FootnoteText"/>
        <w:rPr>
          <w:lang w:val="en-AU"/>
        </w:rPr>
      </w:pPr>
      <w:r>
        <w:rPr>
          <w:rStyle w:val="FootnoteReference"/>
        </w:rPr>
        <w:footnoteRef/>
      </w:r>
      <w:r>
        <w:t xml:space="preserve"> </w:t>
      </w:r>
      <w:r>
        <w:rPr>
          <w:lang w:val="en-AU"/>
        </w:rPr>
        <w:t xml:space="preserve">Cf </w:t>
      </w:r>
      <w:r>
        <w:rPr>
          <w:i/>
          <w:lang w:val="en-AU"/>
        </w:rPr>
        <w:t xml:space="preserve">Constitution </w:t>
      </w:r>
      <w:r>
        <w:rPr>
          <w:lang w:val="en-AU"/>
        </w:rPr>
        <w:t xml:space="preserve">s 51(xxiiiA), which would not support legislation granting social security payments to all persons in a designated location. Thus, payments under the tax system will be necessary for </w:t>
      </w:r>
      <w:proofErr w:type="gramStart"/>
      <w:r>
        <w:rPr>
          <w:lang w:val="en-AU"/>
        </w:rPr>
        <w:t>persons</w:t>
      </w:r>
      <w:proofErr w:type="gramEnd"/>
      <w:r>
        <w:rPr>
          <w:lang w:val="en-AU"/>
        </w:rPr>
        <w:t xml:space="preserve"> ineligible for social security.</w:t>
      </w:r>
    </w:p>
  </w:footnote>
  <w:footnote w:id="221">
    <w:p w14:paraId="553E5011" w14:textId="77777777" w:rsidR="00D86988" w:rsidRPr="00687F79" w:rsidRDefault="00D86988" w:rsidP="00737BD9">
      <w:pPr>
        <w:pStyle w:val="FootnoteText"/>
        <w:rPr>
          <w:lang w:val="en-AU"/>
        </w:rPr>
      </w:pPr>
      <w:r>
        <w:rPr>
          <w:rStyle w:val="FootnoteReference"/>
        </w:rPr>
        <w:footnoteRef/>
      </w:r>
      <w:r>
        <w:t xml:space="preserve"> </w:t>
      </w:r>
      <w:r>
        <w:rPr>
          <w:i/>
          <w:lang w:val="en-AU"/>
        </w:rPr>
        <w:t xml:space="preserve">Constitution </w:t>
      </w:r>
      <w:r>
        <w:rPr>
          <w:lang w:val="en-AU"/>
        </w:rPr>
        <w:t>s 96.</w:t>
      </w:r>
    </w:p>
  </w:footnote>
  <w:footnote w:id="222">
    <w:p w14:paraId="2A186230" w14:textId="1C64ED5D" w:rsidR="00D86988" w:rsidRPr="00737BD9" w:rsidRDefault="00D86988">
      <w:pPr>
        <w:pStyle w:val="FootnoteText"/>
        <w:rPr>
          <w:lang w:val="en-AU"/>
        </w:rPr>
      </w:pPr>
      <w:r>
        <w:rPr>
          <w:rStyle w:val="FootnoteReference"/>
        </w:rPr>
        <w:footnoteRef/>
      </w:r>
      <w:r>
        <w:t xml:space="preserve"> </w:t>
      </w:r>
      <w:r>
        <w:rPr>
          <w:i/>
        </w:rPr>
        <w:t xml:space="preserve">McCloy </w:t>
      </w:r>
      <w:r>
        <w:t>(2015) 89 ALJR 857, 876.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F63D8"/>
    <w:multiLevelType w:val="hybridMultilevel"/>
    <w:tmpl w:val="5C2E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FB7433"/>
    <w:multiLevelType w:val="hybridMultilevel"/>
    <w:tmpl w:val="3A88D9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937DB1"/>
    <w:multiLevelType w:val="hybridMultilevel"/>
    <w:tmpl w:val="753C0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1122CA"/>
    <w:multiLevelType w:val="hybridMultilevel"/>
    <w:tmpl w:val="C93A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F0358A"/>
    <w:multiLevelType w:val="hybridMultilevel"/>
    <w:tmpl w:val="6798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70296D"/>
    <w:multiLevelType w:val="hybridMultilevel"/>
    <w:tmpl w:val="8B84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4F"/>
    <w:rsid w:val="000007AF"/>
    <w:rsid w:val="00001582"/>
    <w:rsid w:val="0000231C"/>
    <w:rsid w:val="000024E0"/>
    <w:rsid w:val="000039C9"/>
    <w:rsid w:val="000055A0"/>
    <w:rsid w:val="00006AEF"/>
    <w:rsid w:val="000078E3"/>
    <w:rsid w:val="000078E6"/>
    <w:rsid w:val="00007B4D"/>
    <w:rsid w:val="00010448"/>
    <w:rsid w:val="00012195"/>
    <w:rsid w:val="000139CB"/>
    <w:rsid w:val="000140CE"/>
    <w:rsid w:val="0001436F"/>
    <w:rsid w:val="0001556B"/>
    <w:rsid w:val="0001597D"/>
    <w:rsid w:val="00017707"/>
    <w:rsid w:val="00021BC9"/>
    <w:rsid w:val="00021EAC"/>
    <w:rsid w:val="000245BA"/>
    <w:rsid w:val="0002757C"/>
    <w:rsid w:val="000305E9"/>
    <w:rsid w:val="00030A96"/>
    <w:rsid w:val="00030CEC"/>
    <w:rsid w:val="000322E1"/>
    <w:rsid w:val="000323C9"/>
    <w:rsid w:val="00032926"/>
    <w:rsid w:val="00032A24"/>
    <w:rsid w:val="00032A95"/>
    <w:rsid w:val="00032C11"/>
    <w:rsid w:val="0003447E"/>
    <w:rsid w:val="0003634C"/>
    <w:rsid w:val="00040700"/>
    <w:rsid w:val="0004240C"/>
    <w:rsid w:val="00042B9D"/>
    <w:rsid w:val="00043C4E"/>
    <w:rsid w:val="000448E0"/>
    <w:rsid w:val="0004528E"/>
    <w:rsid w:val="00045BF3"/>
    <w:rsid w:val="00045E01"/>
    <w:rsid w:val="000466CE"/>
    <w:rsid w:val="000501D3"/>
    <w:rsid w:val="00050734"/>
    <w:rsid w:val="00051E63"/>
    <w:rsid w:val="000523CE"/>
    <w:rsid w:val="000532C7"/>
    <w:rsid w:val="000537B6"/>
    <w:rsid w:val="00053863"/>
    <w:rsid w:val="00053F19"/>
    <w:rsid w:val="000551CA"/>
    <w:rsid w:val="00055897"/>
    <w:rsid w:val="00055A7A"/>
    <w:rsid w:val="00055FB7"/>
    <w:rsid w:val="00056911"/>
    <w:rsid w:val="00057C2C"/>
    <w:rsid w:val="00057C33"/>
    <w:rsid w:val="000631D8"/>
    <w:rsid w:val="000637EF"/>
    <w:rsid w:val="00063E2C"/>
    <w:rsid w:val="00064F28"/>
    <w:rsid w:val="0006657B"/>
    <w:rsid w:val="00075091"/>
    <w:rsid w:val="00076E31"/>
    <w:rsid w:val="00077357"/>
    <w:rsid w:val="00077DE3"/>
    <w:rsid w:val="000807D9"/>
    <w:rsid w:val="00080FF8"/>
    <w:rsid w:val="000811D8"/>
    <w:rsid w:val="00083809"/>
    <w:rsid w:val="000845A1"/>
    <w:rsid w:val="000847C5"/>
    <w:rsid w:val="00084C7B"/>
    <w:rsid w:val="00084E71"/>
    <w:rsid w:val="000850E3"/>
    <w:rsid w:val="00085248"/>
    <w:rsid w:val="000858F1"/>
    <w:rsid w:val="00085D0F"/>
    <w:rsid w:val="000861D4"/>
    <w:rsid w:val="000905AE"/>
    <w:rsid w:val="00090C7E"/>
    <w:rsid w:val="00091D86"/>
    <w:rsid w:val="000920F6"/>
    <w:rsid w:val="00092F7A"/>
    <w:rsid w:val="00093B59"/>
    <w:rsid w:val="0009494D"/>
    <w:rsid w:val="00094A9F"/>
    <w:rsid w:val="00094F50"/>
    <w:rsid w:val="00097FE6"/>
    <w:rsid w:val="000A0604"/>
    <w:rsid w:val="000A0DD6"/>
    <w:rsid w:val="000A176A"/>
    <w:rsid w:val="000A1965"/>
    <w:rsid w:val="000A1988"/>
    <w:rsid w:val="000A1A98"/>
    <w:rsid w:val="000A3392"/>
    <w:rsid w:val="000A35A1"/>
    <w:rsid w:val="000A4ECD"/>
    <w:rsid w:val="000A723C"/>
    <w:rsid w:val="000A76A0"/>
    <w:rsid w:val="000B0C51"/>
    <w:rsid w:val="000B1300"/>
    <w:rsid w:val="000B1AC5"/>
    <w:rsid w:val="000B29BE"/>
    <w:rsid w:val="000B2DBC"/>
    <w:rsid w:val="000B2DC1"/>
    <w:rsid w:val="000B33D4"/>
    <w:rsid w:val="000B4371"/>
    <w:rsid w:val="000B4627"/>
    <w:rsid w:val="000B48E0"/>
    <w:rsid w:val="000B55DE"/>
    <w:rsid w:val="000B5667"/>
    <w:rsid w:val="000B5FA0"/>
    <w:rsid w:val="000B63A1"/>
    <w:rsid w:val="000B6B0B"/>
    <w:rsid w:val="000B7EEA"/>
    <w:rsid w:val="000C0B73"/>
    <w:rsid w:val="000C0C9A"/>
    <w:rsid w:val="000C1CE5"/>
    <w:rsid w:val="000C2338"/>
    <w:rsid w:val="000C2348"/>
    <w:rsid w:val="000C245A"/>
    <w:rsid w:val="000C2800"/>
    <w:rsid w:val="000C2FDF"/>
    <w:rsid w:val="000C4E59"/>
    <w:rsid w:val="000C52D8"/>
    <w:rsid w:val="000C57F3"/>
    <w:rsid w:val="000C6428"/>
    <w:rsid w:val="000D0A33"/>
    <w:rsid w:val="000D22D8"/>
    <w:rsid w:val="000D2862"/>
    <w:rsid w:val="000D2C11"/>
    <w:rsid w:val="000D395A"/>
    <w:rsid w:val="000D43EF"/>
    <w:rsid w:val="000D500B"/>
    <w:rsid w:val="000D50A2"/>
    <w:rsid w:val="000D5BE2"/>
    <w:rsid w:val="000D6B47"/>
    <w:rsid w:val="000D7D66"/>
    <w:rsid w:val="000D7E69"/>
    <w:rsid w:val="000D7FD4"/>
    <w:rsid w:val="000E0335"/>
    <w:rsid w:val="000E0A16"/>
    <w:rsid w:val="000E0CC2"/>
    <w:rsid w:val="000E1F2E"/>
    <w:rsid w:val="000E4DF6"/>
    <w:rsid w:val="000E535B"/>
    <w:rsid w:val="000E5F30"/>
    <w:rsid w:val="000E6D56"/>
    <w:rsid w:val="000E7086"/>
    <w:rsid w:val="000F3864"/>
    <w:rsid w:val="000F4595"/>
    <w:rsid w:val="000F4697"/>
    <w:rsid w:val="000F4F21"/>
    <w:rsid w:val="000F54C9"/>
    <w:rsid w:val="000F57B0"/>
    <w:rsid w:val="000F5910"/>
    <w:rsid w:val="000F5CC9"/>
    <w:rsid w:val="000F69DD"/>
    <w:rsid w:val="001004C5"/>
    <w:rsid w:val="001006FD"/>
    <w:rsid w:val="0010114E"/>
    <w:rsid w:val="00101739"/>
    <w:rsid w:val="001026C1"/>
    <w:rsid w:val="0010311A"/>
    <w:rsid w:val="0010490C"/>
    <w:rsid w:val="00104C0A"/>
    <w:rsid w:val="001055D3"/>
    <w:rsid w:val="00106ABB"/>
    <w:rsid w:val="00106D47"/>
    <w:rsid w:val="00107C54"/>
    <w:rsid w:val="00113338"/>
    <w:rsid w:val="00114950"/>
    <w:rsid w:val="00115188"/>
    <w:rsid w:val="001173D1"/>
    <w:rsid w:val="001174CB"/>
    <w:rsid w:val="001205D7"/>
    <w:rsid w:val="001210ED"/>
    <w:rsid w:val="00121A60"/>
    <w:rsid w:val="00122C2D"/>
    <w:rsid w:val="0012398C"/>
    <w:rsid w:val="00123C8C"/>
    <w:rsid w:val="001265E2"/>
    <w:rsid w:val="0012667B"/>
    <w:rsid w:val="00127B89"/>
    <w:rsid w:val="00130CA5"/>
    <w:rsid w:val="00131DB9"/>
    <w:rsid w:val="001320A9"/>
    <w:rsid w:val="00134D59"/>
    <w:rsid w:val="001364B0"/>
    <w:rsid w:val="0013662F"/>
    <w:rsid w:val="00136D0C"/>
    <w:rsid w:val="001376FF"/>
    <w:rsid w:val="00140AB0"/>
    <w:rsid w:val="001415B0"/>
    <w:rsid w:val="00143124"/>
    <w:rsid w:val="00143493"/>
    <w:rsid w:val="00143843"/>
    <w:rsid w:val="00144413"/>
    <w:rsid w:val="00145AAB"/>
    <w:rsid w:val="001464B9"/>
    <w:rsid w:val="0014729B"/>
    <w:rsid w:val="0015109C"/>
    <w:rsid w:val="00151B7D"/>
    <w:rsid w:val="00152325"/>
    <w:rsid w:val="001526A3"/>
    <w:rsid w:val="001529E9"/>
    <w:rsid w:val="00152C4B"/>
    <w:rsid w:val="0015579A"/>
    <w:rsid w:val="0015588D"/>
    <w:rsid w:val="00155DD4"/>
    <w:rsid w:val="00160112"/>
    <w:rsid w:val="00160DE7"/>
    <w:rsid w:val="0016131A"/>
    <w:rsid w:val="001648B6"/>
    <w:rsid w:val="00165B12"/>
    <w:rsid w:val="00165C3B"/>
    <w:rsid w:val="00166050"/>
    <w:rsid w:val="00166DBD"/>
    <w:rsid w:val="00167754"/>
    <w:rsid w:val="00170261"/>
    <w:rsid w:val="00171DEE"/>
    <w:rsid w:val="001727AF"/>
    <w:rsid w:val="00173436"/>
    <w:rsid w:val="00174300"/>
    <w:rsid w:val="001751AD"/>
    <w:rsid w:val="001774D2"/>
    <w:rsid w:val="001776C8"/>
    <w:rsid w:val="001809CC"/>
    <w:rsid w:val="00181E88"/>
    <w:rsid w:val="00181F2E"/>
    <w:rsid w:val="00183845"/>
    <w:rsid w:val="00184324"/>
    <w:rsid w:val="00184481"/>
    <w:rsid w:val="001844AE"/>
    <w:rsid w:val="00184C72"/>
    <w:rsid w:val="00185CE7"/>
    <w:rsid w:val="00186EDB"/>
    <w:rsid w:val="00187932"/>
    <w:rsid w:val="001907D9"/>
    <w:rsid w:val="0019127A"/>
    <w:rsid w:val="001912D3"/>
    <w:rsid w:val="001918F0"/>
    <w:rsid w:val="001922CD"/>
    <w:rsid w:val="0019448B"/>
    <w:rsid w:val="00194DE3"/>
    <w:rsid w:val="0019511F"/>
    <w:rsid w:val="001964D1"/>
    <w:rsid w:val="001A03F2"/>
    <w:rsid w:val="001A0771"/>
    <w:rsid w:val="001A0A4D"/>
    <w:rsid w:val="001A0E15"/>
    <w:rsid w:val="001A2293"/>
    <w:rsid w:val="001A2C53"/>
    <w:rsid w:val="001A3397"/>
    <w:rsid w:val="001A38C8"/>
    <w:rsid w:val="001A568B"/>
    <w:rsid w:val="001A6BA6"/>
    <w:rsid w:val="001A74DC"/>
    <w:rsid w:val="001B063F"/>
    <w:rsid w:val="001B0BD1"/>
    <w:rsid w:val="001B25F3"/>
    <w:rsid w:val="001B2C84"/>
    <w:rsid w:val="001B335D"/>
    <w:rsid w:val="001B44D1"/>
    <w:rsid w:val="001B4BCF"/>
    <w:rsid w:val="001B595B"/>
    <w:rsid w:val="001B648C"/>
    <w:rsid w:val="001B69E1"/>
    <w:rsid w:val="001B7AA9"/>
    <w:rsid w:val="001C15CB"/>
    <w:rsid w:val="001C1FFE"/>
    <w:rsid w:val="001C22A0"/>
    <w:rsid w:val="001C27B0"/>
    <w:rsid w:val="001C2FF5"/>
    <w:rsid w:val="001C322D"/>
    <w:rsid w:val="001C3905"/>
    <w:rsid w:val="001C5213"/>
    <w:rsid w:val="001C6D99"/>
    <w:rsid w:val="001D1B79"/>
    <w:rsid w:val="001D2184"/>
    <w:rsid w:val="001D29D9"/>
    <w:rsid w:val="001D2BCF"/>
    <w:rsid w:val="001D368E"/>
    <w:rsid w:val="001D3B29"/>
    <w:rsid w:val="001D75B4"/>
    <w:rsid w:val="001E317E"/>
    <w:rsid w:val="001E3624"/>
    <w:rsid w:val="001E5359"/>
    <w:rsid w:val="001E535A"/>
    <w:rsid w:val="001E5ACA"/>
    <w:rsid w:val="001F0B5D"/>
    <w:rsid w:val="001F14FE"/>
    <w:rsid w:val="001F1590"/>
    <w:rsid w:val="001F1596"/>
    <w:rsid w:val="001F2246"/>
    <w:rsid w:val="001F2CB7"/>
    <w:rsid w:val="001F48C2"/>
    <w:rsid w:val="001F4BDA"/>
    <w:rsid w:val="001F5A03"/>
    <w:rsid w:val="001F5A28"/>
    <w:rsid w:val="001F6384"/>
    <w:rsid w:val="0020189D"/>
    <w:rsid w:val="00201A2F"/>
    <w:rsid w:val="00201CE2"/>
    <w:rsid w:val="00202133"/>
    <w:rsid w:val="00202A4B"/>
    <w:rsid w:val="00202D7E"/>
    <w:rsid w:val="0020306E"/>
    <w:rsid w:val="0020317A"/>
    <w:rsid w:val="00203CEE"/>
    <w:rsid w:val="00204021"/>
    <w:rsid w:val="0020459D"/>
    <w:rsid w:val="0020553E"/>
    <w:rsid w:val="002055EF"/>
    <w:rsid w:val="00205801"/>
    <w:rsid w:val="002060C4"/>
    <w:rsid w:val="00206AF4"/>
    <w:rsid w:val="00206C82"/>
    <w:rsid w:val="00211075"/>
    <w:rsid w:val="002137E9"/>
    <w:rsid w:val="002145A2"/>
    <w:rsid w:val="00214AF7"/>
    <w:rsid w:val="00214FF7"/>
    <w:rsid w:val="00216BCA"/>
    <w:rsid w:val="0021708B"/>
    <w:rsid w:val="0021756B"/>
    <w:rsid w:val="002216A8"/>
    <w:rsid w:val="00221F9F"/>
    <w:rsid w:val="00222199"/>
    <w:rsid w:val="0022420E"/>
    <w:rsid w:val="00224768"/>
    <w:rsid w:val="0022609D"/>
    <w:rsid w:val="00227424"/>
    <w:rsid w:val="002274DD"/>
    <w:rsid w:val="00234553"/>
    <w:rsid w:val="002345CE"/>
    <w:rsid w:val="00234D4C"/>
    <w:rsid w:val="002379D8"/>
    <w:rsid w:val="00237C78"/>
    <w:rsid w:val="00237E1B"/>
    <w:rsid w:val="0024037C"/>
    <w:rsid w:val="002418A7"/>
    <w:rsid w:val="0024246B"/>
    <w:rsid w:val="00243273"/>
    <w:rsid w:val="002466F1"/>
    <w:rsid w:val="0024726A"/>
    <w:rsid w:val="00250860"/>
    <w:rsid w:val="00250983"/>
    <w:rsid w:val="00250B25"/>
    <w:rsid w:val="0025105A"/>
    <w:rsid w:val="002513EB"/>
    <w:rsid w:val="002534C1"/>
    <w:rsid w:val="002540E9"/>
    <w:rsid w:val="0025484D"/>
    <w:rsid w:val="002579ED"/>
    <w:rsid w:val="00257EF8"/>
    <w:rsid w:val="00260A11"/>
    <w:rsid w:val="0026752C"/>
    <w:rsid w:val="002677F1"/>
    <w:rsid w:val="002704DB"/>
    <w:rsid w:val="00270EEF"/>
    <w:rsid w:val="00272ED2"/>
    <w:rsid w:val="00277D76"/>
    <w:rsid w:val="00280C2D"/>
    <w:rsid w:val="002812C9"/>
    <w:rsid w:val="002838C9"/>
    <w:rsid w:val="002844FF"/>
    <w:rsid w:val="0028474C"/>
    <w:rsid w:val="00284843"/>
    <w:rsid w:val="0028685C"/>
    <w:rsid w:val="00286BB4"/>
    <w:rsid w:val="00287937"/>
    <w:rsid w:val="00292E26"/>
    <w:rsid w:val="00293375"/>
    <w:rsid w:val="002939AF"/>
    <w:rsid w:val="002939D0"/>
    <w:rsid w:val="00294007"/>
    <w:rsid w:val="00294139"/>
    <w:rsid w:val="002949D6"/>
    <w:rsid w:val="00294B97"/>
    <w:rsid w:val="00294EE4"/>
    <w:rsid w:val="00294FE8"/>
    <w:rsid w:val="0029522E"/>
    <w:rsid w:val="0029570D"/>
    <w:rsid w:val="002965ED"/>
    <w:rsid w:val="002966E5"/>
    <w:rsid w:val="002A1D61"/>
    <w:rsid w:val="002A2A75"/>
    <w:rsid w:val="002A41F8"/>
    <w:rsid w:val="002A4ECF"/>
    <w:rsid w:val="002A6253"/>
    <w:rsid w:val="002A74A5"/>
    <w:rsid w:val="002B24C4"/>
    <w:rsid w:val="002B276F"/>
    <w:rsid w:val="002B29EE"/>
    <w:rsid w:val="002B36AD"/>
    <w:rsid w:val="002B3F3A"/>
    <w:rsid w:val="002B449B"/>
    <w:rsid w:val="002B4B53"/>
    <w:rsid w:val="002B5788"/>
    <w:rsid w:val="002B5C32"/>
    <w:rsid w:val="002B6776"/>
    <w:rsid w:val="002B6E6E"/>
    <w:rsid w:val="002B75F3"/>
    <w:rsid w:val="002C1375"/>
    <w:rsid w:val="002C2B21"/>
    <w:rsid w:val="002C2CF8"/>
    <w:rsid w:val="002C36EB"/>
    <w:rsid w:val="002C44C8"/>
    <w:rsid w:val="002C5104"/>
    <w:rsid w:val="002D0DA1"/>
    <w:rsid w:val="002D1937"/>
    <w:rsid w:val="002D1EA1"/>
    <w:rsid w:val="002D2B6F"/>
    <w:rsid w:val="002D384B"/>
    <w:rsid w:val="002D40FD"/>
    <w:rsid w:val="002D42EE"/>
    <w:rsid w:val="002D4A82"/>
    <w:rsid w:val="002D58B9"/>
    <w:rsid w:val="002D6268"/>
    <w:rsid w:val="002D7004"/>
    <w:rsid w:val="002D7C5D"/>
    <w:rsid w:val="002E1299"/>
    <w:rsid w:val="002E1DE1"/>
    <w:rsid w:val="002E21AA"/>
    <w:rsid w:val="002E2A46"/>
    <w:rsid w:val="002E2D29"/>
    <w:rsid w:val="002E4A66"/>
    <w:rsid w:val="002E5119"/>
    <w:rsid w:val="002E5511"/>
    <w:rsid w:val="002E5DA5"/>
    <w:rsid w:val="002E73C9"/>
    <w:rsid w:val="002E74A6"/>
    <w:rsid w:val="002E752B"/>
    <w:rsid w:val="002F16D6"/>
    <w:rsid w:val="002F360A"/>
    <w:rsid w:val="002F38E6"/>
    <w:rsid w:val="002F499E"/>
    <w:rsid w:val="002F4F0B"/>
    <w:rsid w:val="002F5648"/>
    <w:rsid w:val="002F57A9"/>
    <w:rsid w:val="002F64CF"/>
    <w:rsid w:val="003007C6"/>
    <w:rsid w:val="00301F49"/>
    <w:rsid w:val="0030239E"/>
    <w:rsid w:val="003023B6"/>
    <w:rsid w:val="00302D86"/>
    <w:rsid w:val="00303179"/>
    <w:rsid w:val="003041C6"/>
    <w:rsid w:val="00304D96"/>
    <w:rsid w:val="003050BB"/>
    <w:rsid w:val="0030521C"/>
    <w:rsid w:val="003054DC"/>
    <w:rsid w:val="0030561A"/>
    <w:rsid w:val="00305624"/>
    <w:rsid w:val="00305E22"/>
    <w:rsid w:val="0030601C"/>
    <w:rsid w:val="0030604D"/>
    <w:rsid w:val="0030675D"/>
    <w:rsid w:val="00306978"/>
    <w:rsid w:val="00311A78"/>
    <w:rsid w:val="00313AD5"/>
    <w:rsid w:val="003148E2"/>
    <w:rsid w:val="00314B13"/>
    <w:rsid w:val="0031505E"/>
    <w:rsid w:val="0031515F"/>
    <w:rsid w:val="00316248"/>
    <w:rsid w:val="0031751F"/>
    <w:rsid w:val="003207FA"/>
    <w:rsid w:val="00321464"/>
    <w:rsid w:val="00322CA5"/>
    <w:rsid w:val="00323062"/>
    <w:rsid w:val="00323708"/>
    <w:rsid w:val="003239F5"/>
    <w:rsid w:val="00323E9C"/>
    <w:rsid w:val="0032411C"/>
    <w:rsid w:val="00326C35"/>
    <w:rsid w:val="003277A4"/>
    <w:rsid w:val="00327963"/>
    <w:rsid w:val="00327B39"/>
    <w:rsid w:val="003306A2"/>
    <w:rsid w:val="003322B6"/>
    <w:rsid w:val="00333353"/>
    <w:rsid w:val="0033489F"/>
    <w:rsid w:val="003354A6"/>
    <w:rsid w:val="00335D8F"/>
    <w:rsid w:val="00341C56"/>
    <w:rsid w:val="00343185"/>
    <w:rsid w:val="00343986"/>
    <w:rsid w:val="00343C87"/>
    <w:rsid w:val="00344BE7"/>
    <w:rsid w:val="00347473"/>
    <w:rsid w:val="0035088A"/>
    <w:rsid w:val="0035201E"/>
    <w:rsid w:val="00352AAE"/>
    <w:rsid w:val="00352E2F"/>
    <w:rsid w:val="003533E4"/>
    <w:rsid w:val="0035485F"/>
    <w:rsid w:val="00354A01"/>
    <w:rsid w:val="00355BBD"/>
    <w:rsid w:val="00355E7F"/>
    <w:rsid w:val="00357B88"/>
    <w:rsid w:val="00357C4A"/>
    <w:rsid w:val="00360E93"/>
    <w:rsid w:val="003617C4"/>
    <w:rsid w:val="00361E0B"/>
    <w:rsid w:val="0036362C"/>
    <w:rsid w:val="003641DB"/>
    <w:rsid w:val="0036490A"/>
    <w:rsid w:val="0036528D"/>
    <w:rsid w:val="003655B6"/>
    <w:rsid w:val="003660B5"/>
    <w:rsid w:val="00366ADF"/>
    <w:rsid w:val="0036763D"/>
    <w:rsid w:val="00371CF4"/>
    <w:rsid w:val="00373C09"/>
    <w:rsid w:val="00373C9A"/>
    <w:rsid w:val="00373EF0"/>
    <w:rsid w:val="0037496C"/>
    <w:rsid w:val="0037559D"/>
    <w:rsid w:val="0037574F"/>
    <w:rsid w:val="003774ED"/>
    <w:rsid w:val="00377639"/>
    <w:rsid w:val="00380C8C"/>
    <w:rsid w:val="0038173E"/>
    <w:rsid w:val="0038173F"/>
    <w:rsid w:val="0038178B"/>
    <w:rsid w:val="00383668"/>
    <w:rsid w:val="00383B0F"/>
    <w:rsid w:val="00385DFB"/>
    <w:rsid w:val="00386A6C"/>
    <w:rsid w:val="00387A33"/>
    <w:rsid w:val="003907B3"/>
    <w:rsid w:val="003908E2"/>
    <w:rsid w:val="00391CF0"/>
    <w:rsid w:val="00391E86"/>
    <w:rsid w:val="00394001"/>
    <w:rsid w:val="0039469F"/>
    <w:rsid w:val="003A1624"/>
    <w:rsid w:val="003A1A1F"/>
    <w:rsid w:val="003A1F0D"/>
    <w:rsid w:val="003A2548"/>
    <w:rsid w:val="003A3F34"/>
    <w:rsid w:val="003A415E"/>
    <w:rsid w:val="003A5920"/>
    <w:rsid w:val="003A6242"/>
    <w:rsid w:val="003A62BD"/>
    <w:rsid w:val="003A6EB7"/>
    <w:rsid w:val="003A755B"/>
    <w:rsid w:val="003A76A3"/>
    <w:rsid w:val="003B00BF"/>
    <w:rsid w:val="003B097C"/>
    <w:rsid w:val="003B39B8"/>
    <w:rsid w:val="003B3BA7"/>
    <w:rsid w:val="003B430C"/>
    <w:rsid w:val="003B45A6"/>
    <w:rsid w:val="003B5167"/>
    <w:rsid w:val="003B5584"/>
    <w:rsid w:val="003B6486"/>
    <w:rsid w:val="003B64EF"/>
    <w:rsid w:val="003B7B42"/>
    <w:rsid w:val="003C0AE5"/>
    <w:rsid w:val="003C1113"/>
    <w:rsid w:val="003C11AD"/>
    <w:rsid w:val="003C392C"/>
    <w:rsid w:val="003C39D1"/>
    <w:rsid w:val="003C3D56"/>
    <w:rsid w:val="003C42DC"/>
    <w:rsid w:val="003C4514"/>
    <w:rsid w:val="003C68CC"/>
    <w:rsid w:val="003C7551"/>
    <w:rsid w:val="003D00D2"/>
    <w:rsid w:val="003D08A0"/>
    <w:rsid w:val="003D0DE4"/>
    <w:rsid w:val="003D1BC4"/>
    <w:rsid w:val="003D485D"/>
    <w:rsid w:val="003D689F"/>
    <w:rsid w:val="003D751E"/>
    <w:rsid w:val="003E0324"/>
    <w:rsid w:val="003E0BFC"/>
    <w:rsid w:val="003E0CD4"/>
    <w:rsid w:val="003E1911"/>
    <w:rsid w:val="003E231B"/>
    <w:rsid w:val="003E30F6"/>
    <w:rsid w:val="003E3461"/>
    <w:rsid w:val="003E3B80"/>
    <w:rsid w:val="003E4919"/>
    <w:rsid w:val="003E66F1"/>
    <w:rsid w:val="003E6B38"/>
    <w:rsid w:val="003E6C53"/>
    <w:rsid w:val="003E73F9"/>
    <w:rsid w:val="003F02AC"/>
    <w:rsid w:val="003F18B5"/>
    <w:rsid w:val="003F1D2C"/>
    <w:rsid w:val="003F27FD"/>
    <w:rsid w:val="003F2AA9"/>
    <w:rsid w:val="003F34DA"/>
    <w:rsid w:val="003F4306"/>
    <w:rsid w:val="003F476C"/>
    <w:rsid w:val="00401BC8"/>
    <w:rsid w:val="00402623"/>
    <w:rsid w:val="00402761"/>
    <w:rsid w:val="00403A9F"/>
    <w:rsid w:val="00403B16"/>
    <w:rsid w:val="00403BE3"/>
    <w:rsid w:val="0040405B"/>
    <w:rsid w:val="0040464F"/>
    <w:rsid w:val="00405AA1"/>
    <w:rsid w:val="004066B7"/>
    <w:rsid w:val="00406E41"/>
    <w:rsid w:val="00407527"/>
    <w:rsid w:val="00407893"/>
    <w:rsid w:val="004078B8"/>
    <w:rsid w:val="00413FE5"/>
    <w:rsid w:val="0041462A"/>
    <w:rsid w:val="00414CA5"/>
    <w:rsid w:val="00414F68"/>
    <w:rsid w:val="004158BF"/>
    <w:rsid w:val="00415BAC"/>
    <w:rsid w:val="004179BB"/>
    <w:rsid w:val="004179D3"/>
    <w:rsid w:val="00417D9F"/>
    <w:rsid w:val="00421DAD"/>
    <w:rsid w:val="00421E50"/>
    <w:rsid w:val="004221C2"/>
    <w:rsid w:val="00423233"/>
    <w:rsid w:val="0042387D"/>
    <w:rsid w:val="00423AB1"/>
    <w:rsid w:val="00427492"/>
    <w:rsid w:val="00431292"/>
    <w:rsid w:val="00431F5C"/>
    <w:rsid w:val="004326E0"/>
    <w:rsid w:val="00433038"/>
    <w:rsid w:val="0043341A"/>
    <w:rsid w:val="00433C51"/>
    <w:rsid w:val="00434BE5"/>
    <w:rsid w:val="00435A02"/>
    <w:rsid w:val="00436095"/>
    <w:rsid w:val="0043618E"/>
    <w:rsid w:val="00437FC3"/>
    <w:rsid w:val="00440E62"/>
    <w:rsid w:val="00441A33"/>
    <w:rsid w:val="00441F23"/>
    <w:rsid w:val="0044281E"/>
    <w:rsid w:val="0044362F"/>
    <w:rsid w:val="00443C34"/>
    <w:rsid w:val="004446E4"/>
    <w:rsid w:val="00445E22"/>
    <w:rsid w:val="00445F2E"/>
    <w:rsid w:val="00446810"/>
    <w:rsid w:val="00446B58"/>
    <w:rsid w:val="00450EFF"/>
    <w:rsid w:val="00450F28"/>
    <w:rsid w:val="00451A09"/>
    <w:rsid w:val="00451FAF"/>
    <w:rsid w:val="004535F4"/>
    <w:rsid w:val="004540A0"/>
    <w:rsid w:val="0045420A"/>
    <w:rsid w:val="00454DE9"/>
    <w:rsid w:val="004557AB"/>
    <w:rsid w:val="00455FAB"/>
    <w:rsid w:val="00457166"/>
    <w:rsid w:val="00460FAD"/>
    <w:rsid w:val="00463F0A"/>
    <w:rsid w:val="00464526"/>
    <w:rsid w:val="00464B07"/>
    <w:rsid w:val="00465C42"/>
    <w:rsid w:val="00466941"/>
    <w:rsid w:val="0046743E"/>
    <w:rsid w:val="004674C7"/>
    <w:rsid w:val="00467F10"/>
    <w:rsid w:val="00471211"/>
    <w:rsid w:val="004716AC"/>
    <w:rsid w:val="00471B62"/>
    <w:rsid w:val="004722A1"/>
    <w:rsid w:val="004722E5"/>
    <w:rsid w:val="00474B95"/>
    <w:rsid w:val="0047546F"/>
    <w:rsid w:val="00476367"/>
    <w:rsid w:val="00477807"/>
    <w:rsid w:val="00477BD6"/>
    <w:rsid w:val="004832A4"/>
    <w:rsid w:val="004832F1"/>
    <w:rsid w:val="0048336D"/>
    <w:rsid w:val="004836A4"/>
    <w:rsid w:val="00483E4F"/>
    <w:rsid w:val="004852E5"/>
    <w:rsid w:val="00487165"/>
    <w:rsid w:val="004906CF"/>
    <w:rsid w:val="00490931"/>
    <w:rsid w:val="0049099D"/>
    <w:rsid w:val="004929FC"/>
    <w:rsid w:val="004939FE"/>
    <w:rsid w:val="0049483C"/>
    <w:rsid w:val="004950AB"/>
    <w:rsid w:val="004950F9"/>
    <w:rsid w:val="00495758"/>
    <w:rsid w:val="0049597A"/>
    <w:rsid w:val="00495D13"/>
    <w:rsid w:val="004976A4"/>
    <w:rsid w:val="00497827"/>
    <w:rsid w:val="004A0A82"/>
    <w:rsid w:val="004A0E6E"/>
    <w:rsid w:val="004A0E80"/>
    <w:rsid w:val="004A0F2D"/>
    <w:rsid w:val="004A1F12"/>
    <w:rsid w:val="004A2ED5"/>
    <w:rsid w:val="004A3384"/>
    <w:rsid w:val="004A40C4"/>
    <w:rsid w:val="004A4D67"/>
    <w:rsid w:val="004A4FDD"/>
    <w:rsid w:val="004A65CE"/>
    <w:rsid w:val="004A6782"/>
    <w:rsid w:val="004B0861"/>
    <w:rsid w:val="004B0FD0"/>
    <w:rsid w:val="004B19EA"/>
    <w:rsid w:val="004B1DAC"/>
    <w:rsid w:val="004B2381"/>
    <w:rsid w:val="004B2E2E"/>
    <w:rsid w:val="004B36B1"/>
    <w:rsid w:val="004B36D2"/>
    <w:rsid w:val="004B3E97"/>
    <w:rsid w:val="004B424E"/>
    <w:rsid w:val="004B4581"/>
    <w:rsid w:val="004B4E53"/>
    <w:rsid w:val="004B57D9"/>
    <w:rsid w:val="004B6576"/>
    <w:rsid w:val="004B669A"/>
    <w:rsid w:val="004B6BF3"/>
    <w:rsid w:val="004C000C"/>
    <w:rsid w:val="004C0A15"/>
    <w:rsid w:val="004C0F1F"/>
    <w:rsid w:val="004C1AF2"/>
    <w:rsid w:val="004C27B6"/>
    <w:rsid w:val="004C39CC"/>
    <w:rsid w:val="004C438D"/>
    <w:rsid w:val="004C530F"/>
    <w:rsid w:val="004C5ABB"/>
    <w:rsid w:val="004C658B"/>
    <w:rsid w:val="004C7309"/>
    <w:rsid w:val="004C79F4"/>
    <w:rsid w:val="004C7D94"/>
    <w:rsid w:val="004C7DEC"/>
    <w:rsid w:val="004D0CB0"/>
    <w:rsid w:val="004D1065"/>
    <w:rsid w:val="004D1570"/>
    <w:rsid w:val="004D160C"/>
    <w:rsid w:val="004D4C21"/>
    <w:rsid w:val="004D523F"/>
    <w:rsid w:val="004D7605"/>
    <w:rsid w:val="004E00F3"/>
    <w:rsid w:val="004E10C4"/>
    <w:rsid w:val="004E14FE"/>
    <w:rsid w:val="004E17D8"/>
    <w:rsid w:val="004E29AF"/>
    <w:rsid w:val="004E30DA"/>
    <w:rsid w:val="004E366D"/>
    <w:rsid w:val="004E375E"/>
    <w:rsid w:val="004E44F7"/>
    <w:rsid w:val="004E45DE"/>
    <w:rsid w:val="004E4DF6"/>
    <w:rsid w:val="004E5382"/>
    <w:rsid w:val="004E6325"/>
    <w:rsid w:val="004E6549"/>
    <w:rsid w:val="004E689A"/>
    <w:rsid w:val="004E789C"/>
    <w:rsid w:val="004F00AD"/>
    <w:rsid w:val="004F15E0"/>
    <w:rsid w:val="004F28FC"/>
    <w:rsid w:val="004F2B52"/>
    <w:rsid w:val="005002A3"/>
    <w:rsid w:val="005009A7"/>
    <w:rsid w:val="00500C92"/>
    <w:rsid w:val="00501079"/>
    <w:rsid w:val="00503489"/>
    <w:rsid w:val="00503C3B"/>
    <w:rsid w:val="00504A12"/>
    <w:rsid w:val="005055D4"/>
    <w:rsid w:val="00507B12"/>
    <w:rsid w:val="00507C48"/>
    <w:rsid w:val="00507CD2"/>
    <w:rsid w:val="00507F5E"/>
    <w:rsid w:val="00511382"/>
    <w:rsid w:val="00511623"/>
    <w:rsid w:val="005135A3"/>
    <w:rsid w:val="00513FD1"/>
    <w:rsid w:val="005144A2"/>
    <w:rsid w:val="00515053"/>
    <w:rsid w:val="005153CC"/>
    <w:rsid w:val="00515648"/>
    <w:rsid w:val="00516E06"/>
    <w:rsid w:val="00517806"/>
    <w:rsid w:val="005178AE"/>
    <w:rsid w:val="005205E2"/>
    <w:rsid w:val="00520AC3"/>
    <w:rsid w:val="0052188C"/>
    <w:rsid w:val="005222FC"/>
    <w:rsid w:val="00525723"/>
    <w:rsid w:val="00525B25"/>
    <w:rsid w:val="005322BE"/>
    <w:rsid w:val="00532E49"/>
    <w:rsid w:val="005345BC"/>
    <w:rsid w:val="00534AA5"/>
    <w:rsid w:val="00541147"/>
    <w:rsid w:val="00541B46"/>
    <w:rsid w:val="005420F7"/>
    <w:rsid w:val="00542F99"/>
    <w:rsid w:val="00543815"/>
    <w:rsid w:val="00544627"/>
    <w:rsid w:val="00544755"/>
    <w:rsid w:val="0054498F"/>
    <w:rsid w:val="00545EE0"/>
    <w:rsid w:val="0054695D"/>
    <w:rsid w:val="00547EBF"/>
    <w:rsid w:val="00550350"/>
    <w:rsid w:val="00550A21"/>
    <w:rsid w:val="00550FAE"/>
    <w:rsid w:val="00551DAA"/>
    <w:rsid w:val="005520EE"/>
    <w:rsid w:val="00552293"/>
    <w:rsid w:val="0055258D"/>
    <w:rsid w:val="00552CC3"/>
    <w:rsid w:val="00552E7F"/>
    <w:rsid w:val="00553302"/>
    <w:rsid w:val="005535C6"/>
    <w:rsid w:val="00553829"/>
    <w:rsid w:val="00554050"/>
    <w:rsid w:val="00554582"/>
    <w:rsid w:val="005545B9"/>
    <w:rsid w:val="005547FB"/>
    <w:rsid w:val="00555F26"/>
    <w:rsid w:val="00556015"/>
    <w:rsid w:val="0055687C"/>
    <w:rsid w:val="005570C0"/>
    <w:rsid w:val="00562077"/>
    <w:rsid w:val="00562DCB"/>
    <w:rsid w:val="0056675F"/>
    <w:rsid w:val="00566B94"/>
    <w:rsid w:val="005732EA"/>
    <w:rsid w:val="0057366F"/>
    <w:rsid w:val="00573F0E"/>
    <w:rsid w:val="00574AB7"/>
    <w:rsid w:val="00574D4D"/>
    <w:rsid w:val="00575365"/>
    <w:rsid w:val="00575544"/>
    <w:rsid w:val="00575F7D"/>
    <w:rsid w:val="00577295"/>
    <w:rsid w:val="005802C8"/>
    <w:rsid w:val="00580B8E"/>
    <w:rsid w:val="00581E67"/>
    <w:rsid w:val="00582738"/>
    <w:rsid w:val="0058307C"/>
    <w:rsid w:val="005839EA"/>
    <w:rsid w:val="00586A49"/>
    <w:rsid w:val="00590400"/>
    <w:rsid w:val="00590627"/>
    <w:rsid w:val="00590EDC"/>
    <w:rsid w:val="005914E0"/>
    <w:rsid w:val="00593151"/>
    <w:rsid w:val="00593798"/>
    <w:rsid w:val="00593B22"/>
    <w:rsid w:val="0059490D"/>
    <w:rsid w:val="00595479"/>
    <w:rsid w:val="00595853"/>
    <w:rsid w:val="00595B81"/>
    <w:rsid w:val="00595FA8"/>
    <w:rsid w:val="005A1732"/>
    <w:rsid w:val="005A29F0"/>
    <w:rsid w:val="005A41A9"/>
    <w:rsid w:val="005A45FA"/>
    <w:rsid w:val="005B0769"/>
    <w:rsid w:val="005B2277"/>
    <w:rsid w:val="005B3287"/>
    <w:rsid w:val="005B45A8"/>
    <w:rsid w:val="005B497F"/>
    <w:rsid w:val="005B4A0D"/>
    <w:rsid w:val="005B5860"/>
    <w:rsid w:val="005B65E3"/>
    <w:rsid w:val="005B695E"/>
    <w:rsid w:val="005B6C72"/>
    <w:rsid w:val="005B7D33"/>
    <w:rsid w:val="005C0B31"/>
    <w:rsid w:val="005C17F7"/>
    <w:rsid w:val="005C18DD"/>
    <w:rsid w:val="005C1A37"/>
    <w:rsid w:val="005C3008"/>
    <w:rsid w:val="005C4275"/>
    <w:rsid w:val="005C4832"/>
    <w:rsid w:val="005C4ACC"/>
    <w:rsid w:val="005C6112"/>
    <w:rsid w:val="005C6F9D"/>
    <w:rsid w:val="005C7B4C"/>
    <w:rsid w:val="005D271E"/>
    <w:rsid w:val="005D3EAB"/>
    <w:rsid w:val="005D4850"/>
    <w:rsid w:val="005D5E65"/>
    <w:rsid w:val="005D6496"/>
    <w:rsid w:val="005D6B01"/>
    <w:rsid w:val="005E0991"/>
    <w:rsid w:val="005E34A0"/>
    <w:rsid w:val="005E4CE6"/>
    <w:rsid w:val="005E50CA"/>
    <w:rsid w:val="005E5AF8"/>
    <w:rsid w:val="005E6E90"/>
    <w:rsid w:val="005E6F10"/>
    <w:rsid w:val="005E7237"/>
    <w:rsid w:val="005F03B3"/>
    <w:rsid w:val="005F0B19"/>
    <w:rsid w:val="005F1122"/>
    <w:rsid w:val="005F18DA"/>
    <w:rsid w:val="005F1A93"/>
    <w:rsid w:val="005F273A"/>
    <w:rsid w:val="005F33FE"/>
    <w:rsid w:val="005F3ABC"/>
    <w:rsid w:val="005F483D"/>
    <w:rsid w:val="005F513B"/>
    <w:rsid w:val="005F5724"/>
    <w:rsid w:val="005F6DE6"/>
    <w:rsid w:val="00601441"/>
    <w:rsid w:val="00601A0B"/>
    <w:rsid w:val="006031E2"/>
    <w:rsid w:val="00603DF5"/>
    <w:rsid w:val="00604273"/>
    <w:rsid w:val="00605541"/>
    <w:rsid w:val="00605E7B"/>
    <w:rsid w:val="00606B9B"/>
    <w:rsid w:val="00607590"/>
    <w:rsid w:val="0061045A"/>
    <w:rsid w:val="0061209B"/>
    <w:rsid w:val="00612611"/>
    <w:rsid w:val="00612D2C"/>
    <w:rsid w:val="00613317"/>
    <w:rsid w:val="00613544"/>
    <w:rsid w:val="00614EFB"/>
    <w:rsid w:val="006164CD"/>
    <w:rsid w:val="00616A10"/>
    <w:rsid w:val="00617714"/>
    <w:rsid w:val="00617779"/>
    <w:rsid w:val="00617CAC"/>
    <w:rsid w:val="00621660"/>
    <w:rsid w:val="00621C6B"/>
    <w:rsid w:val="00622B7D"/>
    <w:rsid w:val="00623545"/>
    <w:rsid w:val="006237DB"/>
    <w:rsid w:val="00623B02"/>
    <w:rsid w:val="0062629C"/>
    <w:rsid w:val="006268DD"/>
    <w:rsid w:val="00626C60"/>
    <w:rsid w:val="00631925"/>
    <w:rsid w:val="00632FCA"/>
    <w:rsid w:val="006332C5"/>
    <w:rsid w:val="00633893"/>
    <w:rsid w:val="00633A1C"/>
    <w:rsid w:val="0063423B"/>
    <w:rsid w:val="00634B69"/>
    <w:rsid w:val="00637488"/>
    <w:rsid w:val="006378E5"/>
    <w:rsid w:val="00640286"/>
    <w:rsid w:val="00641D17"/>
    <w:rsid w:val="006422EA"/>
    <w:rsid w:val="00642BAC"/>
    <w:rsid w:val="0064447A"/>
    <w:rsid w:val="0064505B"/>
    <w:rsid w:val="00645466"/>
    <w:rsid w:val="006460C9"/>
    <w:rsid w:val="00646610"/>
    <w:rsid w:val="00646627"/>
    <w:rsid w:val="00647523"/>
    <w:rsid w:val="006517EB"/>
    <w:rsid w:val="006529CF"/>
    <w:rsid w:val="006543B6"/>
    <w:rsid w:val="00654871"/>
    <w:rsid w:val="00657713"/>
    <w:rsid w:val="006608D5"/>
    <w:rsid w:val="00661BB3"/>
    <w:rsid w:val="00661CF5"/>
    <w:rsid w:val="00661E95"/>
    <w:rsid w:val="0066205D"/>
    <w:rsid w:val="006622D7"/>
    <w:rsid w:val="006625AD"/>
    <w:rsid w:val="0066270F"/>
    <w:rsid w:val="00662C67"/>
    <w:rsid w:val="00663898"/>
    <w:rsid w:val="006653A6"/>
    <w:rsid w:val="00666061"/>
    <w:rsid w:val="00666E3D"/>
    <w:rsid w:val="00667416"/>
    <w:rsid w:val="00670858"/>
    <w:rsid w:val="006715CD"/>
    <w:rsid w:val="006731EE"/>
    <w:rsid w:val="00676501"/>
    <w:rsid w:val="00677841"/>
    <w:rsid w:val="00681EE9"/>
    <w:rsid w:val="00682970"/>
    <w:rsid w:val="00682E75"/>
    <w:rsid w:val="00685650"/>
    <w:rsid w:val="00685FE2"/>
    <w:rsid w:val="006873E7"/>
    <w:rsid w:val="00687F79"/>
    <w:rsid w:val="006912B0"/>
    <w:rsid w:val="00691D00"/>
    <w:rsid w:val="0069456F"/>
    <w:rsid w:val="00695193"/>
    <w:rsid w:val="0069596E"/>
    <w:rsid w:val="006961EA"/>
    <w:rsid w:val="006969E0"/>
    <w:rsid w:val="00696A1F"/>
    <w:rsid w:val="00696F10"/>
    <w:rsid w:val="006971B1"/>
    <w:rsid w:val="006976C9"/>
    <w:rsid w:val="006A348E"/>
    <w:rsid w:val="006A412D"/>
    <w:rsid w:val="006A4FC8"/>
    <w:rsid w:val="006A5D62"/>
    <w:rsid w:val="006A5FC7"/>
    <w:rsid w:val="006A6EF3"/>
    <w:rsid w:val="006A73AA"/>
    <w:rsid w:val="006A74EB"/>
    <w:rsid w:val="006B045F"/>
    <w:rsid w:val="006B21CE"/>
    <w:rsid w:val="006B2A94"/>
    <w:rsid w:val="006B57B7"/>
    <w:rsid w:val="006B5E48"/>
    <w:rsid w:val="006B62E6"/>
    <w:rsid w:val="006B7307"/>
    <w:rsid w:val="006B788C"/>
    <w:rsid w:val="006C0731"/>
    <w:rsid w:val="006C3AE3"/>
    <w:rsid w:val="006C3B37"/>
    <w:rsid w:val="006C54F4"/>
    <w:rsid w:val="006C5B86"/>
    <w:rsid w:val="006C5BE8"/>
    <w:rsid w:val="006C762A"/>
    <w:rsid w:val="006C7775"/>
    <w:rsid w:val="006C7DC6"/>
    <w:rsid w:val="006D101F"/>
    <w:rsid w:val="006D398D"/>
    <w:rsid w:val="006D6359"/>
    <w:rsid w:val="006D7C8D"/>
    <w:rsid w:val="006E0920"/>
    <w:rsid w:val="006E1312"/>
    <w:rsid w:val="006E157E"/>
    <w:rsid w:val="006E23BE"/>
    <w:rsid w:val="006E29BB"/>
    <w:rsid w:val="006E2A4C"/>
    <w:rsid w:val="006E30E7"/>
    <w:rsid w:val="006E3242"/>
    <w:rsid w:val="006E4695"/>
    <w:rsid w:val="006E51A6"/>
    <w:rsid w:val="006E54BD"/>
    <w:rsid w:val="006E6624"/>
    <w:rsid w:val="006F07FB"/>
    <w:rsid w:val="006F3937"/>
    <w:rsid w:val="006F3B0C"/>
    <w:rsid w:val="006F5A32"/>
    <w:rsid w:val="006F6DDA"/>
    <w:rsid w:val="006F7115"/>
    <w:rsid w:val="006F787E"/>
    <w:rsid w:val="0070120B"/>
    <w:rsid w:val="007016B1"/>
    <w:rsid w:val="00702DC7"/>
    <w:rsid w:val="00703DE6"/>
    <w:rsid w:val="00704D9B"/>
    <w:rsid w:val="00705D7B"/>
    <w:rsid w:val="00707093"/>
    <w:rsid w:val="00707C47"/>
    <w:rsid w:val="0071140B"/>
    <w:rsid w:val="007114A4"/>
    <w:rsid w:val="0071168A"/>
    <w:rsid w:val="00711E15"/>
    <w:rsid w:val="00711F38"/>
    <w:rsid w:val="00712302"/>
    <w:rsid w:val="00712E1C"/>
    <w:rsid w:val="00713AFC"/>
    <w:rsid w:val="007142C9"/>
    <w:rsid w:val="007149B2"/>
    <w:rsid w:val="007152BA"/>
    <w:rsid w:val="00716B15"/>
    <w:rsid w:val="0071705C"/>
    <w:rsid w:val="007239F3"/>
    <w:rsid w:val="00723E50"/>
    <w:rsid w:val="0072562A"/>
    <w:rsid w:val="007256AD"/>
    <w:rsid w:val="00726375"/>
    <w:rsid w:val="00726A9B"/>
    <w:rsid w:val="00726F4F"/>
    <w:rsid w:val="007271A9"/>
    <w:rsid w:val="00727BF8"/>
    <w:rsid w:val="007310CE"/>
    <w:rsid w:val="00735C6C"/>
    <w:rsid w:val="00736B7C"/>
    <w:rsid w:val="00737B18"/>
    <w:rsid w:val="00737BD9"/>
    <w:rsid w:val="007406A0"/>
    <w:rsid w:val="0074084D"/>
    <w:rsid w:val="007408B4"/>
    <w:rsid w:val="00742C4B"/>
    <w:rsid w:val="007475A5"/>
    <w:rsid w:val="00751778"/>
    <w:rsid w:val="00752557"/>
    <w:rsid w:val="00752FFE"/>
    <w:rsid w:val="0075482F"/>
    <w:rsid w:val="00754B0F"/>
    <w:rsid w:val="00754BF6"/>
    <w:rsid w:val="00755544"/>
    <w:rsid w:val="0075554A"/>
    <w:rsid w:val="00755C84"/>
    <w:rsid w:val="00757C08"/>
    <w:rsid w:val="007603D2"/>
    <w:rsid w:val="00760585"/>
    <w:rsid w:val="00760CF8"/>
    <w:rsid w:val="0076133F"/>
    <w:rsid w:val="00761CD6"/>
    <w:rsid w:val="007627CE"/>
    <w:rsid w:val="00764CD0"/>
    <w:rsid w:val="007652A7"/>
    <w:rsid w:val="00767703"/>
    <w:rsid w:val="00767A2B"/>
    <w:rsid w:val="00767E5E"/>
    <w:rsid w:val="00770302"/>
    <w:rsid w:val="00770735"/>
    <w:rsid w:val="00772432"/>
    <w:rsid w:val="00772688"/>
    <w:rsid w:val="00775C47"/>
    <w:rsid w:val="00776CFB"/>
    <w:rsid w:val="00777096"/>
    <w:rsid w:val="0077756D"/>
    <w:rsid w:val="00777682"/>
    <w:rsid w:val="007805B2"/>
    <w:rsid w:val="007810BA"/>
    <w:rsid w:val="00781DED"/>
    <w:rsid w:val="007825D5"/>
    <w:rsid w:val="00783019"/>
    <w:rsid w:val="0078333A"/>
    <w:rsid w:val="007843A8"/>
    <w:rsid w:val="00785507"/>
    <w:rsid w:val="007859A4"/>
    <w:rsid w:val="00790569"/>
    <w:rsid w:val="00791F13"/>
    <w:rsid w:val="0079210F"/>
    <w:rsid w:val="00792759"/>
    <w:rsid w:val="00792B3C"/>
    <w:rsid w:val="00793D50"/>
    <w:rsid w:val="00794141"/>
    <w:rsid w:val="00795A84"/>
    <w:rsid w:val="00795D9B"/>
    <w:rsid w:val="007974D2"/>
    <w:rsid w:val="007A0A27"/>
    <w:rsid w:val="007A0E4D"/>
    <w:rsid w:val="007A4B8A"/>
    <w:rsid w:val="007A5D9A"/>
    <w:rsid w:val="007A6190"/>
    <w:rsid w:val="007A7510"/>
    <w:rsid w:val="007A7872"/>
    <w:rsid w:val="007A7C13"/>
    <w:rsid w:val="007B0DD1"/>
    <w:rsid w:val="007B16A7"/>
    <w:rsid w:val="007B19AC"/>
    <w:rsid w:val="007B2325"/>
    <w:rsid w:val="007B244D"/>
    <w:rsid w:val="007B3815"/>
    <w:rsid w:val="007B48AF"/>
    <w:rsid w:val="007B5EFD"/>
    <w:rsid w:val="007B604A"/>
    <w:rsid w:val="007B607F"/>
    <w:rsid w:val="007B7581"/>
    <w:rsid w:val="007C1328"/>
    <w:rsid w:val="007C16F8"/>
    <w:rsid w:val="007C33C7"/>
    <w:rsid w:val="007C3E20"/>
    <w:rsid w:val="007C659E"/>
    <w:rsid w:val="007D19E1"/>
    <w:rsid w:val="007D227C"/>
    <w:rsid w:val="007D2B8F"/>
    <w:rsid w:val="007D30D3"/>
    <w:rsid w:val="007D33D3"/>
    <w:rsid w:val="007D5A8C"/>
    <w:rsid w:val="007D64BC"/>
    <w:rsid w:val="007E02F5"/>
    <w:rsid w:val="007E0880"/>
    <w:rsid w:val="007E0E19"/>
    <w:rsid w:val="007E1156"/>
    <w:rsid w:val="007E1615"/>
    <w:rsid w:val="007E1FF1"/>
    <w:rsid w:val="007E2179"/>
    <w:rsid w:val="007E2B8D"/>
    <w:rsid w:val="007E2D98"/>
    <w:rsid w:val="007E38F9"/>
    <w:rsid w:val="007E44FC"/>
    <w:rsid w:val="007E45A5"/>
    <w:rsid w:val="007E5137"/>
    <w:rsid w:val="007E6E6F"/>
    <w:rsid w:val="007E6FFA"/>
    <w:rsid w:val="007E7CCD"/>
    <w:rsid w:val="007E7FED"/>
    <w:rsid w:val="007F0752"/>
    <w:rsid w:val="007F1103"/>
    <w:rsid w:val="007F17BD"/>
    <w:rsid w:val="007F1901"/>
    <w:rsid w:val="007F1905"/>
    <w:rsid w:val="007F3428"/>
    <w:rsid w:val="007F38A2"/>
    <w:rsid w:val="007F3FA3"/>
    <w:rsid w:val="007F55E1"/>
    <w:rsid w:val="007F6ECC"/>
    <w:rsid w:val="007F756E"/>
    <w:rsid w:val="00800695"/>
    <w:rsid w:val="008025B1"/>
    <w:rsid w:val="0080459B"/>
    <w:rsid w:val="00806F76"/>
    <w:rsid w:val="0080756D"/>
    <w:rsid w:val="00810556"/>
    <w:rsid w:val="00810789"/>
    <w:rsid w:val="00810A6E"/>
    <w:rsid w:val="00810E08"/>
    <w:rsid w:val="00813208"/>
    <w:rsid w:val="008139E8"/>
    <w:rsid w:val="00813ACE"/>
    <w:rsid w:val="00814FBD"/>
    <w:rsid w:val="00814FD7"/>
    <w:rsid w:val="0081596A"/>
    <w:rsid w:val="0082001A"/>
    <w:rsid w:val="008206BC"/>
    <w:rsid w:val="00820ED9"/>
    <w:rsid w:val="008220C1"/>
    <w:rsid w:val="0082394D"/>
    <w:rsid w:val="00823E79"/>
    <w:rsid w:val="00824582"/>
    <w:rsid w:val="0082459E"/>
    <w:rsid w:val="008245C7"/>
    <w:rsid w:val="00824A7F"/>
    <w:rsid w:val="00825DC5"/>
    <w:rsid w:val="00826644"/>
    <w:rsid w:val="0083112E"/>
    <w:rsid w:val="008319F4"/>
    <w:rsid w:val="00831CE3"/>
    <w:rsid w:val="00833FAA"/>
    <w:rsid w:val="008347C8"/>
    <w:rsid w:val="00834CEA"/>
    <w:rsid w:val="00834D1F"/>
    <w:rsid w:val="0083540D"/>
    <w:rsid w:val="008356C4"/>
    <w:rsid w:val="008368D7"/>
    <w:rsid w:val="008369FD"/>
    <w:rsid w:val="00836E3A"/>
    <w:rsid w:val="008377AB"/>
    <w:rsid w:val="00840447"/>
    <w:rsid w:val="00840594"/>
    <w:rsid w:val="008414C5"/>
    <w:rsid w:val="00841736"/>
    <w:rsid w:val="0084219D"/>
    <w:rsid w:val="008448AD"/>
    <w:rsid w:val="00844F67"/>
    <w:rsid w:val="00846F6C"/>
    <w:rsid w:val="008473A0"/>
    <w:rsid w:val="00847D53"/>
    <w:rsid w:val="008501E8"/>
    <w:rsid w:val="008515B6"/>
    <w:rsid w:val="00851600"/>
    <w:rsid w:val="0085162D"/>
    <w:rsid w:val="008516F7"/>
    <w:rsid w:val="008526FB"/>
    <w:rsid w:val="00852BE2"/>
    <w:rsid w:val="00852E4F"/>
    <w:rsid w:val="00853029"/>
    <w:rsid w:val="00853A94"/>
    <w:rsid w:val="0085405D"/>
    <w:rsid w:val="00854745"/>
    <w:rsid w:val="00854A54"/>
    <w:rsid w:val="0085531A"/>
    <w:rsid w:val="00855646"/>
    <w:rsid w:val="00855DE1"/>
    <w:rsid w:val="00856CD8"/>
    <w:rsid w:val="008572D6"/>
    <w:rsid w:val="00860160"/>
    <w:rsid w:val="0086314D"/>
    <w:rsid w:val="008664C7"/>
    <w:rsid w:val="008669C4"/>
    <w:rsid w:val="00867843"/>
    <w:rsid w:val="008678A3"/>
    <w:rsid w:val="0087076F"/>
    <w:rsid w:val="00870FF0"/>
    <w:rsid w:val="00871C1F"/>
    <w:rsid w:val="0087223B"/>
    <w:rsid w:val="00873EC2"/>
    <w:rsid w:val="00874024"/>
    <w:rsid w:val="0087480E"/>
    <w:rsid w:val="008765D3"/>
    <w:rsid w:val="00876EC7"/>
    <w:rsid w:val="0087765F"/>
    <w:rsid w:val="00880A76"/>
    <w:rsid w:val="00881A7E"/>
    <w:rsid w:val="00883ABB"/>
    <w:rsid w:val="00883FF2"/>
    <w:rsid w:val="0088508F"/>
    <w:rsid w:val="00885249"/>
    <w:rsid w:val="008863C1"/>
    <w:rsid w:val="00886B81"/>
    <w:rsid w:val="0088707D"/>
    <w:rsid w:val="008879C1"/>
    <w:rsid w:val="0089070C"/>
    <w:rsid w:val="00891AE0"/>
    <w:rsid w:val="00892CBF"/>
    <w:rsid w:val="008944C8"/>
    <w:rsid w:val="00894548"/>
    <w:rsid w:val="00895832"/>
    <w:rsid w:val="008A1077"/>
    <w:rsid w:val="008A1F1C"/>
    <w:rsid w:val="008A4965"/>
    <w:rsid w:val="008B0C11"/>
    <w:rsid w:val="008B37E4"/>
    <w:rsid w:val="008B396C"/>
    <w:rsid w:val="008B3D67"/>
    <w:rsid w:val="008B43FE"/>
    <w:rsid w:val="008B4501"/>
    <w:rsid w:val="008B70F9"/>
    <w:rsid w:val="008B76DC"/>
    <w:rsid w:val="008B79AC"/>
    <w:rsid w:val="008B7F7E"/>
    <w:rsid w:val="008C00E5"/>
    <w:rsid w:val="008C130E"/>
    <w:rsid w:val="008C2554"/>
    <w:rsid w:val="008C25DC"/>
    <w:rsid w:val="008C41CD"/>
    <w:rsid w:val="008C5D3D"/>
    <w:rsid w:val="008C5F51"/>
    <w:rsid w:val="008C606F"/>
    <w:rsid w:val="008C69DC"/>
    <w:rsid w:val="008C6FBB"/>
    <w:rsid w:val="008C7A7F"/>
    <w:rsid w:val="008C7C86"/>
    <w:rsid w:val="008D0F20"/>
    <w:rsid w:val="008D2008"/>
    <w:rsid w:val="008D2126"/>
    <w:rsid w:val="008D3E84"/>
    <w:rsid w:val="008D41F6"/>
    <w:rsid w:val="008D56E4"/>
    <w:rsid w:val="008D633A"/>
    <w:rsid w:val="008D66FB"/>
    <w:rsid w:val="008D6781"/>
    <w:rsid w:val="008D6F71"/>
    <w:rsid w:val="008D7F8D"/>
    <w:rsid w:val="008E292E"/>
    <w:rsid w:val="008E4B6C"/>
    <w:rsid w:val="008E4FF9"/>
    <w:rsid w:val="008E5AAF"/>
    <w:rsid w:val="008E5B42"/>
    <w:rsid w:val="008E6346"/>
    <w:rsid w:val="008E7147"/>
    <w:rsid w:val="008E74C1"/>
    <w:rsid w:val="008F0C69"/>
    <w:rsid w:val="008F1BDB"/>
    <w:rsid w:val="008F398C"/>
    <w:rsid w:val="008F40B5"/>
    <w:rsid w:val="008F62B5"/>
    <w:rsid w:val="008F640D"/>
    <w:rsid w:val="008F75E5"/>
    <w:rsid w:val="008F781F"/>
    <w:rsid w:val="008F7A0A"/>
    <w:rsid w:val="0090072F"/>
    <w:rsid w:val="0090193A"/>
    <w:rsid w:val="00901BC7"/>
    <w:rsid w:val="009020F6"/>
    <w:rsid w:val="00902753"/>
    <w:rsid w:val="00903087"/>
    <w:rsid w:val="0090343E"/>
    <w:rsid w:val="00903AC6"/>
    <w:rsid w:val="00910006"/>
    <w:rsid w:val="00910247"/>
    <w:rsid w:val="00910E35"/>
    <w:rsid w:val="00911854"/>
    <w:rsid w:val="00911AEE"/>
    <w:rsid w:val="009123ED"/>
    <w:rsid w:val="009143CE"/>
    <w:rsid w:val="00914C27"/>
    <w:rsid w:val="00914C65"/>
    <w:rsid w:val="0091587B"/>
    <w:rsid w:val="00916ABD"/>
    <w:rsid w:val="00916BA8"/>
    <w:rsid w:val="00916D29"/>
    <w:rsid w:val="009179C5"/>
    <w:rsid w:val="009209FA"/>
    <w:rsid w:val="00920A76"/>
    <w:rsid w:val="0092132D"/>
    <w:rsid w:val="00921574"/>
    <w:rsid w:val="00923679"/>
    <w:rsid w:val="00923C05"/>
    <w:rsid w:val="00923F28"/>
    <w:rsid w:val="00924B01"/>
    <w:rsid w:val="00927400"/>
    <w:rsid w:val="00927834"/>
    <w:rsid w:val="00930A66"/>
    <w:rsid w:val="00931134"/>
    <w:rsid w:val="00933B32"/>
    <w:rsid w:val="00933FF5"/>
    <w:rsid w:val="00934333"/>
    <w:rsid w:val="00934F2F"/>
    <w:rsid w:val="00935B0A"/>
    <w:rsid w:val="00935F2A"/>
    <w:rsid w:val="009369AD"/>
    <w:rsid w:val="00937F08"/>
    <w:rsid w:val="00937FCC"/>
    <w:rsid w:val="0094051E"/>
    <w:rsid w:val="00940FEF"/>
    <w:rsid w:val="00941831"/>
    <w:rsid w:val="00941F70"/>
    <w:rsid w:val="0094225B"/>
    <w:rsid w:val="00943094"/>
    <w:rsid w:val="00943838"/>
    <w:rsid w:val="00944A00"/>
    <w:rsid w:val="00946734"/>
    <w:rsid w:val="0094725A"/>
    <w:rsid w:val="00947466"/>
    <w:rsid w:val="00947DE5"/>
    <w:rsid w:val="00950623"/>
    <w:rsid w:val="0095101A"/>
    <w:rsid w:val="0095224E"/>
    <w:rsid w:val="00952382"/>
    <w:rsid w:val="0095432F"/>
    <w:rsid w:val="00954E35"/>
    <w:rsid w:val="0095628B"/>
    <w:rsid w:val="00956A7A"/>
    <w:rsid w:val="009574CB"/>
    <w:rsid w:val="00957B1D"/>
    <w:rsid w:val="00960209"/>
    <w:rsid w:val="00961CD0"/>
    <w:rsid w:val="00962867"/>
    <w:rsid w:val="0096352A"/>
    <w:rsid w:val="00965894"/>
    <w:rsid w:val="009659EC"/>
    <w:rsid w:val="009661A0"/>
    <w:rsid w:val="00970EEB"/>
    <w:rsid w:val="0097153D"/>
    <w:rsid w:val="0097173B"/>
    <w:rsid w:val="00971A14"/>
    <w:rsid w:val="009732D6"/>
    <w:rsid w:val="009746B7"/>
    <w:rsid w:val="009750B0"/>
    <w:rsid w:val="00976D33"/>
    <w:rsid w:val="0098089F"/>
    <w:rsid w:val="00980B40"/>
    <w:rsid w:val="00981DFA"/>
    <w:rsid w:val="00983ED7"/>
    <w:rsid w:val="00983F56"/>
    <w:rsid w:val="00984C27"/>
    <w:rsid w:val="00985339"/>
    <w:rsid w:val="009862AF"/>
    <w:rsid w:val="00986643"/>
    <w:rsid w:val="00986E58"/>
    <w:rsid w:val="0098748B"/>
    <w:rsid w:val="00987A80"/>
    <w:rsid w:val="00991B68"/>
    <w:rsid w:val="0099208C"/>
    <w:rsid w:val="009920A5"/>
    <w:rsid w:val="00992524"/>
    <w:rsid w:val="00992C6F"/>
    <w:rsid w:val="0099342F"/>
    <w:rsid w:val="009935D7"/>
    <w:rsid w:val="00993A19"/>
    <w:rsid w:val="00995332"/>
    <w:rsid w:val="0099568F"/>
    <w:rsid w:val="009958B1"/>
    <w:rsid w:val="00997638"/>
    <w:rsid w:val="00997B7F"/>
    <w:rsid w:val="009A0BE5"/>
    <w:rsid w:val="009A1597"/>
    <w:rsid w:val="009A1EE3"/>
    <w:rsid w:val="009A356C"/>
    <w:rsid w:val="009A44A1"/>
    <w:rsid w:val="009A6786"/>
    <w:rsid w:val="009A6AE1"/>
    <w:rsid w:val="009A6E31"/>
    <w:rsid w:val="009A7763"/>
    <w:rsid w:val="009A7B8C"/>
    <w:rsid w:val="009A7D4C"/>
    <w:rsid w:val="009B036E"/>
    <w:rsid w:val="009B2090"/>
    <w:rsid w:val="009B2362"/>
    <w:rsid w:val="009B3200"/>
    <w:rsid w:val="009B7BB7"/>
    <w:rsid w:val="009C0C41"/>
    <w:rsid w:val="009C301A"/>
    <w:rsid w:val="009C319C"/>
    <w:rsid w:val="009C4252"/>
    <w:rsid w:val="009C468A"/>
    <w:rsid w:val="009C4825"/>
    <w:rsid w:val="009C52E6"/>
    <w:rsid w:val="009C5AE7"/>
    <w:rsid w:val="009C65D8"/>
    <w:rsid w:val="009C6E43"/>
    <w:rsid w:val="009D0C47"/>
    <w:rsid w:val="009D4F2E"/>
    <w:rsid w:val="009D58B6"/>
    <w:rsid w:val="009D66F5"/>
    <w:rsid w:val="009D764D"/>
    <w:rsid w:val="009E032B"/>
    <w:rsid w:val="009E0EE5"/>
    <w:rsid w:val="009E1004"/>
    <w:rsid w:val="009E13A9"/>
    <w:rsid w:val="009E21C0"/>
    <w:rsid w:val="009E43C4"/>
    <w:rsid w:val="009E4BC7"/>
    <w:rsid w:val="009E5C9A"/>
    <w:rsid w:val="009E670B"/>
    <w:rsid w:val="009F096E"/>
    <w:rsid w:val="009F1768"/>
    <w:rsid w:val="009F1FF8"/>
    <w:rsid w:val="009F25ED"/>
    <w:rsid w:val="009F2980"/>
    <w:rsid w:val="009F54A3"/>
    <w:rsid w:val="009F5806"/>
    <w:rsid w:val="009F5C83"/>
    <w:rsid w:val="009F62E6"/>
    <w:rsid w:val="009F6568"/>
    <w:rsid w:val="009F6848"/>
    <w:rsid w:val="009F74CC"/>
    <w:rsid w:val="009F74FC"/>
    <w:rsid w:val="009F7621"/>
    <w:rsid w:val="00A01B45"/>
    <w:rsid w:val="00A01DF3"/>
    <w:rsid w:val="00A02456"/>
    <w:rsid w:val="00A02C42"/>
    <w:rsid w:val="00A02DC0"/>
    <w:rsid w:val="00A032E1"/>
    <w:rsid w:val="00A034DD"/>
    <w:rsid w:val="00A036FC"/>
    <w:rsid w:val="00A03E3C"/>
    <w:rsid w:val="00A04C38"/>
    <w:rsid w:val="00A053EF"/>
    <w:rsid w:val="00A064D6"/>
    <w:rsid w:val="00A07AB8"/>
    <w:rsid w:val="00A100DB"/>
    <w:rsid w:val="00A1136B"/>
    <w:rsid w:val="00A13591"/>
    <w:rsid w:val="00A14882"/>
    <w:rsid w:val="00A156E2"/>
    <w:rsid w:val="00A158EE"/>
    <w:rsid w:val="00A17E76"/>
    <w:rsid w:val="00A20578"/>
    <w:rsid w:val="00A20BCD"/>
    <w:rsid w:val="00A21F50"/>
    <w:rsid w:val="00A22046"/>
    <w:rsid w:val="00A22B22"/>
    <w:rsid w:val="00A250F4"/>
    <w:rsid w:val="00A25204"/>
    <w:rsid w:val="00A25819"/>
    <w:rsid w:val="00A26016"/>
    <w:rsid w:val="00A2683E"/>
    <w:rsid w:val="00A26A9D"/>
    <w:rsid w:val="00A26F06"/>
    <w:rsid w:val="00A27521"/>
    <w:rsid w:val="00A3004C"/>
    <w:rsid w:val="00A30658"/>
    <w:rsid w:val="00A316C4"/>
    <w:rsid w:val="00A31973"/>
    <w:rsid w:val="00A32BFC"/>
    <w:rsid w:val="00A32F1A"/>
    <w:rsid w:val="00A336FF"/>
    <w:rsid w:val="00A33C48"/>
    <w:rsid w:val="00A33DEB"/>
    <w:rsid w:val="00A34AB1"/>
    <w:rsid w:val="00A34FCD"/>
    <w:rsid w:val="00A356D1"/>
    <w:rsid w:val="00A35C1A"/>
    <w:rsid w:val="00A3690A"/>
    <w:rsid w:val="00A3700B"/>
    <w:rsid w:val="00A379D2"/>
    <w:rsid w:val="00A436DF"/>
    <w:rsid w:val="00A43CC9"/>
    <w:rsid w:val="00A440D2"/>
    <w:rsid w:val="00A45729"/>
    <w:rsid w:val="00A45FD1"/>
    <w:rsid w:val="00A46044"/>
    <w:rsid w:val="00A46BC7"/>
    <w:rsid w:val="00A47E2A"/>
    <w:rsid w:val="00A510BE"/>
    <w:rsid w:val="00A523AD"/>
    <w:rsid w:val="00A53662"/>
    <w:rsid w:val="00A536AD"/>
    <w:rsid w:val="00A5446E"/>
    <w:rsid w:val="00A55AC4"/>
    <w:rsid w:val="00A56E77"/>
    <w:rsid w:val="00A56FD3"/>
    <w:rsid w:val="00A60AF9"/>
    <w:rsid w:val="00A6187C"/>
    <w:rsid w:val="00A62274"/>
    <w:rsid w:val="00A62B4D"/>
    <w:rsid w:val="00A630AF"/>
    <w:rsid w:val="00A630D0"/>
    <w:rsid w:val="00A649A5"/>
    <w:rsid w:val="00A64A49"/>
    <w:rsid w:val="00A67693"/>
    <w:rsid w:val="00A71114"/>
    <w:rsid w:val="00A722CD"/>
    <w:rsid w:val="00A73563"/>
    <w:rsid w:val="00A73EFF"/>
    <w:rsid w:val="00A741A2"/>
    <w:rsid w:val="00A74F2D"/>
    <w:rsid w:val="00A75397"/>
    <w:rsid w:val="00A755FB"/>
    <w:rsid w:val="00A75803"/>
    <w:rsid w:val="00A779FE"/>
    <w:rsid w:val="00A80148"/>
    <w:rsid w:val="00A81405"/>
    <w:rsid w:val="00A815E7"/>
    <w:rsid w:val="00A82925"/>
    <w:rsid w:val="00A86FE9"/>
    <w:rsid w:val="00A87568"/>
    <w:rsid w:val="00A87887"/>
    <w:rsid w:val="00A91115"/>
    <w:rsid w:val="00A91699"/>
    <w:rsid w:val="00A92442"/>
    <w:rsid w:val="00A93E6B"/>
    <w:rsid w:val="00A941A4"/>
    <w:rsid w:val="00A950CD"/>
    <w:rsid w:val="00A95EB2"/>
    <w:rsid w:val="00A9738E"/>
    <w:rsid w:val="00AA2138"/>
    <w:rsid w:val="00AA23C9"/>
    <w:rsid w:val="00AA2D30"/>
    <w:rsid w:val="00AA34A4"/>
    <w:rsid w:val="00AA3931"/>
    <w:rsid w:val="00AA4387"/>
    <w:rsid w:val="00AA4BA3"/>
    <w:rsid w:val="00AA5CB0"/>
    <w:rsid w:val="00AA5F3B"/>
    <w:rsid w:val="00AB04E6"/>
    <w:rsid w:val="00AB05B2"/>
    <w:rsid w:val="00AB12FE"/>
    <w:rsid w:val="00AB1699"/>
    <w:rsid w:val="00AB4467"/>
    <w:rsid w:val="00AB457D"/>
    <w:rsid w:val="00AB4FA8"/>
    <w:rsid w:val="00AB649B"/>
    <w:rsid w:val="00AC047C"/>
    <w:rsid w:val="00AC0873"/>
    <w:rsid w:val="00AC13C3"/>
    <w:rsid w:val="00AC1C35"/>
    <w:rsid w:val="00AC1FD3"/>
    <w:rsid w:val="00AC260C"/>
    <w:rsid w:val="00AC2C17"/>
    <w:rsid w:val="00AC2FE2"/>
    <w:rsid w:val="00AC48FB"/>
    <w:rsid w:val="00AC4AE6"/>
    <w:rsid w:val="00AC5B11"/>
    <w:rsid w:val="00AC729C"/>
    <w:rsid w:val="00AC74C6"/>
    <w:rsid w:val="00AD1A01"/>
    <w:rsid w:val="00AD1AA6"/>
    <w:rsid w:val="00AD2B32"/>
    <w:rsid w:val="00AD3348"/>
    <w:rsid w:val="00AD398A"/>
    <w:rsid w:val="00AD4ABF"/>
    <w:rsid w:val="00AD52FF"/>
    <w:rsid w:val="00AD5B76"/>
    <w:rsid w:val="00AD6612"/>
    <w:rsid w:val="00AD7DB6"/>
    <w:rsid w:val="00AE065D"/>
    <w:rsid w:val="00AE1802"/>
    <w:rsid w:val="00AE1B47"/>
    <w:rsid w:val="00AE2AC3"/>
    <w:rsid w:val="00AE3375"/>
    <w:rsid w:val="00AE35E4"/>
    <w:rsid w:val="00AE4C59"/>
    <w:rsid w:val="00AE4F32"/>
    <w:rsid w:val="00AE6484"/>
    <w:rsid w:val="00AE68EB"/>
    <w:rsid w:val="00AE76CD"/>
    <w:rsid w:val="00AE7BAE"/>
    <w:rsid w:val="00AF0E52"/>
    <w:rsid w:val="00AF415F"/>
    <w:rsid w:val="00AF4637"/>
    <w:rsid w:val="00AF4E4C"/>
    <w:rsid w:val="00AF6928"/>
    <w:rsid w:val="00AF7D9B"/>
    <w:rsid w:val="00B008BE"/>
    <w:rsid w:val="00B01381"/>
    <w:rsid w:val="00B034CC"/>
    <w:rsid w:val="00B03632"/>
    <w:rsid w:val="00B03911"/>
    <w:rsid w:val="00B03F69"/>
    <w:rsid w:val="00B04FBA"/>
    <w:rsid w:val="00B057C1"/>
    <w:rsid w:val="00B057E5"/>
    <w:rsid w:val="00B05B03"/>
    <w:rsid w:val="00B127BF"/>
    <w:rsid w:val="00B14684"/>
    <w:rsid w:val="00B14C47"/>
    <w:rsid w:val="00B14FFF"/>
    <w:rsid w:val="00B1787B"/>
    <w:rsid w:val="00B20C7F"/>
    <w:rsid w:val="00B2410C"/>
    <w:rsid w:val="00B24E39"/>
    <w:rsid w:val="00B254DB"/>
    <w:rsid w:val="00B25EAF"/>
    <w:rsid w:val="00B27687"/>
    <w:rsid w:val="00B303D3"/>
    <w:rsid w:val="00B30573"/>
    <w:rsid w:val="00B309DE"/>
    <w:rsid w:val="00B30A2E"/>
    <w:rsid w:val="00B31F4F"/>
    <w:rsid w:val="00B32636"/>
    <w:rsid w:val="00B32E4F"/>
    <w:rsid w:val="00B33CEA"/>
    <w:rsid w:val="00B415B6"/>
    <w:rsid w:val="00B4220A"/>
    <w:rsid w:val="00B43034"/>
    <w:rsid w:val="00B43E33"/>
    <w:rsid w:val="00B4533E"/>
    <w:rsid w:val="00B457D8"/>
    <w:rsid w:val="00B46181"/>
    <w:rsid w:val="00B46829"/>
    <w:rsid w:val="00B47930"/>
    <w:rsid w:val="00B5015A"/>
    <w:rsid w:val="00B52B7E"/>
    <w:rsid w:val="00B52C68"/>
    <w:rsid w:val="00B53288"/>
    <w:rsid w:val="00B53DB6"/>
    <w:rsid w:val="00B55A70"/>
    <w:rsid w:val="00B55C1B"/>
    <w:rsid w:val="00B575AC"/>
    <w:rsid w:val="00B57F76"/>
    <w:rsid w:val="00B60B13"/>
    <w:rsid w:val="00B616A5"/>
    <w:rsid w:val="00B618F6"/>
    <w:rsid w:val="00B61A7A"/>
    <w:rsid w:val="00B61EF2"/>
    <w:rsid w:val="00B63FF4"/>
    <w:rsid w:val="00B64E81"/>
    <w:rsid w:val="00B7188E"/>
    <w:rsid w:val="00B720C6"/>
    <w:rsid w:val="00B7368B"/>
    <w:rsid w:val="00B73FA9"/>
    <w:rsid w:val="00B7592E"/>
    <w:rsid w:val="00B80E97"/>
    <w:rsid w:val="00B81030"/>
    <w:rsid w:val="00B81131"/>
    <w:rsid w:val="00B83F1C"/>
    <w:rsid w:val="00B84E48"/>
    <w:rsid w:val="00B84F75"/>
    <w:rsid w:val="00B85325"/>
    <w:rsid w:val="00B85BCF"/>
    <w:rsid w:val="00B86958"/>
    <w:rsid w:val="00B86FA5"/>
    <w:rsid w:val="00B8736C"/>
    <w:rsid w:val="00B87487"/>
    <w:rsid w:val="00B908D5"/>
    <w:rsid w:val="00B9224F"/>
    <w:rsid w:val="00B925A5"/>
    <w:rsid w:val="00B9554B"/>
    <w:rsid w:val="00B95C4C"/>
    <w:rsid w:val="00B96F7D"/>
    <w:rsid w:val="00B9704F"/>
    <w:rsid w:val="00B9748C"/>
    <w:rsid w:val="00B97CDC"/>
    <w:rsid w:val="00BA16C9"/>
    <w:rsid w:val="00BA1F8D"/>
    <w:rsid w:val="00BA2359"/>
    <w:rsid w:val="00BA3567"/>
    <w:rsid w:val="00BA3740"/>
    <w:rsid w:val="00BA6392"/>
    <w:rsid w:val="00BA6E82"/>
    <w:rsid w:val="00BA6EAD"/>
    <w:rsid w:val="00BA6FFF"/>
    <w:rsid w:val="00BA7AFF"/>
    <w:rsid w:val="00BB010C"/>
    <w:rsid w:val="00BB0E8A"/>
    <w:rsid w:val="00BB1028"/>
    <w:rsid w:val="00BB270C"/>
    <w:rsid w:val="00BB32F9"/>
    <w:rsid w:val="00BB4465"/>
    <w:rsid w:val="00BB68A0"/>
    <w:rsid w:val="00BB7779"/>
    <w:rsid w:val="00BC07FE"/>
    <w:rsid w:val="00BC11D8"/>
    <w:rsid w:val="00BC2725"/>
    <w:rsid w:val="00BC3BC8"/>
    <w:rsid w:val="00BC3FC0"/>
    <w:rsid w:val="00BC4B13"/>
    <w:rsid w:val="00BC4EEE"/>
    <w:rsid w:val="00BC57E1"/>
    <w:rsid w:val="00BC6085"/>
    <w:rsid w:val="00BC7F62"/>
    <w:rsid w:val="00BD0C4E"/>
    <w:rsid w:val="00BD24A8"/>
    <w:rsid w:val="00BD2529"/>
    <w:rsid w:val="00BD38A5"/>
    <w:rsid w:val="00BD3DF5"/>
    <w:rsid w:val="00BD3F4F"/>
    <w:rsid w:val="00BD40A0"/>
    <w:rsid w:val="00BD4AE2"/>
    <w:rsid w:val="00BD5CB7"/>
    <w:rsid w:val="00BD64D8"/>
    <w:rsid w:val="00BD7CFB"/>
    <w:rsid w:val="00BD7F61"/>
    <w:rsid w:val="00BE041C"/>
    <w:rsid w:val="00BE1261"/>
    <w:rsid w:val="00BE1BFA"/>
    <w:rsid w:val="00BE224C"/>
    <w:rsid w:val="00BE2296"/>
    <w:rsid w:val="00BE2740"/>
    <w:rsid w:val="00BE45B5"/>
    <w:rsid w:val="00BF0AED"/>
    <w:rsid w:val="00BF1625"/>
    <w:rsid w:val="00BF2889"/>
    <w:rsid w:val="00BF2B83"/>
    <w:rsid w:val="00BF332A"/>
    <w:rsid w:val="00BF3506"/>
    <w:rsid w:val="00BF385C"/>
    <w:rsid w:val="00BF4501"/>
    <w:rsid w:val="00BF4A44"/>
    <w:rsid w:val="00BF5560"/>
    <w:rsid w:val="00BF610F"/>
    <w:rsid w:val="00BF6F8E"/>
    <w:rsid w:val="00C002FE"/>
    <w:rsid w:val="00C003E7"/>
    <w:rsid w:val="00C021D2"/>
    <w:rsid w:val="00C03457"/>
    <w:rsid w:val="00C03CA9"/>
    <w:rsid w:val="00C04B93"/>
    <w:rsid w:val="00C0630B"/>
    <w:rsid w:val="00C0721A"/>
    <w:rsid w:val="00C0740F"/>
    <w:rsid w:val="00C07521"/>
    <w:rsid w:val="00C1126C"/>
    <w:rsid w:val="00C12638"/>
    <w:rsid w:val="00C14D28"/>
    <w:rsid w:val="00C150DA"/>
    <w:rsid w:val="00C16145"/>
    <w:rsid w:val="00C16E61"/>
    <w:rsid w:val="00C1714F"/>
    <w:rsid w:val="00C205E2"/>
    <w:rsid w:val="00C20B6C"/>
    <w:rsid w:val="00C20D5D"/>
    <w:rsid w:val="00C20EAA"/>
    <w:rsid w:val="00C20F71"/>
    <w:rsid w:val="00C20FCF"/>
    <w:rsid w:val="00C21102"/>
    <w:rsid w:val="00C21C29"/>
    <w:rsid w:val="00C2477F"/>
    <w:rsid w:val="00C25531"/>
    <w:rsid w:val="00C26802"/>
    <w:rsid w:val="00C27EF9"/>
    <w:rsid w:val="00C30E0A"/>
    <w:rsid w:val="00C30F10"/>
    <w:rsid w:val="00C326E4"/>
    <w:rsid w:val="00C33845"/>
    <w:rsid w:val="00C35C10"/>
    <w:rsid w:val="00C36440"/>
    <w:rsid w:val="00C368F4"/>
    <w:rsid w:val="00C37CC9"/>
    <w:rsid w:val="00C4050D"/>
    <w:rsid w:val="00C405B2"/>
    <w:rsid w:val="00C41A23"/>
    <w:rsid w:val="00C42C2E"/>
    <w:rsid w:val="00C4387F"/>
    <w:rsid w:val="00C439F6"/>
    <w:rsid w:val="00C43E4C"/>
    <w:rsid w:val="00C44323"/>
    <w:rsid w:val="00C44AAC"/>
    <w:rsid w:val="00C459F2"/>
    <w:rsid w:val="00C45E84"/>
    <w:rsid w:val="00C4670F"/>
    <w:rsid w:val="00C476E6"/>
    <w:rsid w:val="00C47C9C"/>
    <w:rsid w:val="00C50430"/>
    <w:rsid w:val="00C50D0C"/>
    <w:rsid w:val="00C50FCD"/>
    <w:rsid w:val="00C521F2"/>
    <w:rsid w:val="00C538B9"/>
    <w:rsid w:val="00C5462A"/>
    <w:rsid w:val="00C54DBF"/>
    <w:rsid w:val="00C564F3"/>
    <w:rsid w:val="00C56EFE"/>
    <w:rsid w:val="00C572A4"/>
    <w:rsid w:val="00C5749E"/>
    <w:rsid w:val="00C577F3"/>
    <w:rsid w:val="00C578EA"/>
    <w:rsid w:val="00C57ABD"/>
    <w:rsid w:val="00C6006A"/>
    <w:rsid w:val="00C61189"/>
    <w:rsid w:val="00C62088"/>
    <w:rsid w:val="00C62E08"/>
    <w:rsid w:val="00C63542"/>
    <w:rsid w:val="00C63EDF"/>
    <w:rsid w:val="00C64705"/>
    <w:rsid w:val="00C64E17"/>
    <w:rsid w:val="00C654FC"/>
    <w:rsid w:val="00C6561D"/>
    <w:rsid w:val="00C678ED"/>
    <w:rsid w:val="00C7003E"/>
    <w:rsid w:val="00C70B78"/>
    <w:rsid w:val="00C718ED"/>
    <w:rsid w:val="00C73FAA"/>
    <w:rsid w:val="00C75D65"/>
    <w:rsid w:val="00C7625D"/>
    <w:rsid w:val="00C77555"/>
    <w:rsid w:val="00C80779"/>
    <w:rsid w:val="00C80FE0"/>
    <w:rsid w:val="00C83989"/>
    <w:rsid w:val="00C83ECB"/>
    <w:rsid w:val="00C84C24"/>
    <w:rsid w:val="00C855AB"/>
    <w:rsid w:val="00C85E27"/>
    <w:rsid w:val="00C863DD"/>
    <w:rsid w:val="00C866FD"/>
    <w:rsid w:val="00C877B9"/>
    <w:rsid w:val="00C87ABC"/>
    <w:rsid w:val="00C87FBD"/>
    <w:rsid w:val="00C90008"/>
    <w:rsid w:val="00C900CE"/>
    <w:rsid w:val="00C9178E"/>
    <w:rsid w:val="00C922EA"/>
    <w:rsid w:val="00C92771"/>
    <w:rsid w:val="00C95132"/>
    <w:rsid w:val="00C95BEA"/>
    <w:rsid w:val="00C971EB"/>
    <w:rsid w:val="00CA0F55"/>
    <w:rsid w:val="00CA120A"/>
    <w:rsid w:val="00CA1D76"/>
    <w:rsid w:val="00CA214A"/>
    <w:rsid w:val="00CA2C5A"/>
    <w:rsid w:val="00CA4145"/>
    <w:rsid w:val="00CA4AC6"/>
    <w:rsid w:val="00CA4DDB"/>
    <w:rsid w:val="00CA56D4"/>
    <w:rsid w:val="00CA602C"/>
    <w:rsid w:val="00CA73DB"/>
    <w:rsid w:val="00CA740D"/>
    <w:rsid w:val="00CA7BF7"/>
    <w:rsid w:val="00CB2331"/>
    <w:rsid w:val="00CB2CD0"/>
    <w:rsid w:val="00CB2EF3"/>
    <w:rsid w:val="00CB3980"/>
    <w:rsid w:val="00CB45DD"/>
    <w:rsid w:val="00CB5325"/>
    <w:rsid w:val="00CB5914"/>
    <w:rsid w:val="00CB59F1"/>
    <w:rsid w:val="00CB6B91"/>
    <w:rsid w:val="00CB7331"/>
    <w:rsid w:val="00CC1BF7"/>
    <w:rsid w:val="00CC6AEA"/>
    <w:rsid w:val="00CC7A6C"/>
    <w:rsid w:val="00CD1BF5"/>
    <w:rsid w:val="00CD1C1A"/>
    <w:rsid w:val="00CD21B0"/>
    <w:rsid w:val="00CD275E"/>
    <w:rsid w:val="00CD2948"/>
    <w:rsid w:val="00CD294C"/>
    <w:rsid w:val="00CD2DF1"/>
    <w:rsid w:val="00CD32A1"/>
    <w:rsid w:val="00CD5A51"/>
    <w:rsid w:val="00CD7983"/>
    <w:rsid w:val="00CE074B"/>
    <w:rsid w:val="00CE09DE"/>
    <w:rsid w:val="00CE0E34"/>
    <w:rsid w:val="00CE13C4"/>
    <w:rsid w:val="00CE17AD"/>
    <w:rsid w:val="00CE1DFB"/>
    <w:rsid w:val="00CE3AAE"/>
    <w:rsid w:val="00CE431D"/>
    <w:rsid w:val="00CE50A6"/>
    <w:rsid w:val="00CE526F"/>
    <w:rsid w:val="00CE56D5"/>
    <w:rsid w:val="00CE5726"/>
    <w:rsid w:val="00CE5CC4"/>
    <w:rsid w:val="00CE6969"/>
    <w:rsid w:val="00CE6FAE"/>
    <w:rsid w:val="00CE7087"/>
    <w:rsid w:val="00CF2D94"/>
    <w:rsid w:val="00CF2F0C"/>
    <w:rsid w:val="00CF333A"/>
    <w:rsid w:val="00CF4093"/>
    <w:rsid w:val="00CF5BC2"/>
    <w:rsid w:val="00CF71F3"/>
    <w:rsid w:val="00CF77FC"/>
    <w:rsid w:val="00CF7E9F"/>
    <w:rsid w:val="00D0228F"/>
    <w:rsid w:val="00D025A7"/>
    <w:rsid w:val="00D026BC"/>
    <w:rsid w:val="00D028B3"/>
    <w:rsid w:val="00D02E15"/>
    <w:rsid w:val="00D040F8"/>
    <w:rsid w:val="00D04F03"/>
    <w:rsid w:val="00D056C1"/>
    <w:rsid w:val="00D061E7"/>
    <w:rsid w:val="00D0786F"/>
    <w:rsid w:val="00D07DC9"/>
    <w:rsid w:val="00D10451"/>
    <w:rsid w:val="00D10E5E"/>
    <w:rsid w:val="00D12845"/>
    <w:rsid w:val="00D132EB"/>
    <w:rsid w:val="00D141D1"/>
    <w:rsid w:val="00D14CD0"/>
    <w:rsid w:val="00D153A8"/>
    <w:rsid w:val="00D15AEC"/>
    <w:rsid w:val="00D171CC"/>
    <w:rsid w:val="00D177FA"/>
    <w:rsid w:val="00D1799A"/>
    <w:rsid w:val="00D17EB8"/>
    <w:rsid w:val="00D2037E"/>
    <w:rsid w:val="00D207F3"/>
    <w:rsid w:val="00D20A9F"/>
    <w:rsid w:val="00D2221E"/>
    <w:rsid w:val="00D235A4"/>
    <w:rsid w:val="00D238DD"/>
    <w:rsid w:val="00D23A29"/>
    <w:rsid w:val="00D23C97"/>
    <w:rsid w:val="00D24573"/>
    <w:rsid w:val="00D24FB1"/>
    <w:rsid w:val="00D259F7"/>
    <w:rsid w:val="00D26A65"/>
    <w:rsid w:val="00D273AF"/>
    <w:rsid w:val="00D27C26"/>
    <w:rsid w:val="00D314FE"/>
    <w:rsid w:val="00D33FFA"/>
    <w:rsid w:val="00D35797"/>
    <w:rsid w:val="00D35819"/>
    <w:rsid w:val="00D361E9"/>
    <w:rsid w:val="00D36245"/>
    <w:rsid w:val="00D36574"/>
    <w:rsid w:val="00D36D51"/>
    <w:rsid w:val="00D3796C"/>
    <w:rsid w:val="00D37B70"/>
    <w:rsid w:val="00D4041E"/>
    <w:rsid w:val="00D40DD6"/>
    <w:rsid w:val="00D411A0"/>
    <w:rsid w:val="00D42317"/>
    <w:rsid w:val="00D426CB"/>
    <w:rsid w:val="00D42D02"/>
    <w:rsid w:val="00D43892"/>
    <w:rsid w:val="00D45122"/>
    <w:rsid w:val="00D4769B"/>
    <w:rsid w:val="00D479EF"/>
    <w:rsid w:val="00D47D0B"/>
    <w:rsid w:val="00D47E1D"/>
    <w:rsid w:val="00D530E7"/>
    <w:rsid w:val="00D538F6"/>
    <w:rsid w:val="00D53D7C"/>
    <w:rsid w:val="00D53E80"/>
    <w:rsid w:val="00D5401C"/>
    <w:rsid w:val="00D5534F"/>
    <w:rsid w:val="00D55F5A"/>
    <w:rsid w:val="00D607C6"/>
    <w:rsid w:val="00D60A7A"/>
    <w:rsid w:val="00D61C3F"/>
    <w:rsid w:val="00D6272B"/>
    <w:rsid w:val="00D638DD"/>
    <w:rsid w:val="00D63D8A"/>
    <w:rsid w:val="00D64204"/>
    <w:rsid w:val="00D642D5"/>
    <w:rsid w:val="00D648A9"/>
    <w:rsid w:val="00D64C28"/>
    <w:rsid w:val="00D65000"/>
    <w:rsid w:val="00D6614E"/>
    <w:rsid w:val="00D664FF"/>
    <w:rsid w:val="00D66B86"/>
    <w:rsid w:val="00D66BA6"/>
    <w:rsid w:val="00D700D9"/>
    <w:rsid w:val="00D7195C"/>
    <w:rsid w:val="00D721C5"/>
    <w:rsid w:val="00D73165"/>
    <w:rsid w:val="00D74690"/>
    <w:rsid w:val="00D753CB"/>
    <w:rsid w:val="00D7551F"/>
    <w:rsid w:val="00D77433"/>
    <w:rsid w:val="00D776FC"/>
    <w:rsid w:val="00D8146D"/>
    <w:rsid w:val="00D81DD5"/>
    <w:rsid w:val="00D8229C"/>
    <w:rsid w:val="00D82F8D"/>
    <w:rsid w:val="00D84134"/>
    <w:rsid w:val="00D855DA"/>
    <w:rsid w:val="00D856C4"/>
    <w:rsid w:val="00D86988"/>
    <w:rsid w:val="00D87A30"/>
    <w:rsid w:val="00D91668"/>
    <w:rsid w:val="00D92184"/>
    <w:rsid w:val="00D926AF"/>
    <w:rsid w:val="00D93220"/>
    <w:rsid w:val="00D94657"/>
    <w:rsid w:val="00D961F6"/>
    <w:rsid w:val="00D96333"/>
    <w:rsid w:val="00DA00FD"/>
    <w:rsid w:val="00DA01FB"/>
    <w:rsid w:val="00DA0689"/>
    <w:rsid w:val="00DA0832"/>
    <w:rsid w:val="00DA0C34"/>
    <w:rsid w:val="00DA153E"/>
    <w:rsid w:val="00DA1955"/>
    <w:rsid w:val="00DA1BBF"/>
    <w:rsid w:val="00DA2C5D"/>
    <w:rsid w:val="00DA3832"/>
    <w:rsid w:val="00DA3960"/>
    <w:rsid w:val="00DA3F75"/>
    <w:rsid w:val="00DA4388"/>
    <w:rsid w:val="00DA58AD"/>
    <w:rsid w:val="00DA6346"/>
    <w:rsid w:val="00DA6E82"/>
    <w:rsid w:val="00DA7345"/>
    <w:rsid w:val="00DB0431"/>
    <w:rsid w:val="00DB0C49"/>
    <w:rsid w:val="00DB158E"/>
    <w:rsid w:val="00DB266D"/>
    <w:rsid w:val="00DB26C5"/>
    <w:rsid w:val="00DB36A8"/>
    <w:rsid w:val="00DB3B8C"/>
    <w:rsid w:val="00DB5613"/>
    <w:rsid w:val="00DB6D22"/>
    <w:rsid w:val="00DC07F5"/>
    <w:rsid w:val="00DC252E"/>
    <w:rsid w:val="00DC2671"/>
    <w:rsid w:val="00DC392A"/>
    <w:rsid w:val="00DC4AA8"/>
    <w:rsid w:val="00DC6093"/>
    <w:rsid w:val="00DC612B"/>
    <w:rsid w:val="00DC746B"/>
    <w:rsid w:val="00DC7560"/>
    <w:rsid w:val="00DC7861"/>
    <w:rsid w:val="00DD272C"/>
    <w:rsid w:val="00DD474C"/>
    <w:rsid w:val="00DD544E"/>
    <w:rsid w:val="00DD572B"/>
    <w:rsid w:val="00DD7555"/>
    <w:rsid w:val="00DD7CBE"/>
    <w:rsid w:val="00DE1660"/>
    <w:rsid w:val="00DE1D43"/>
    <w:rsid w:val="00DE2A6F"/>
    <w:rsid w:val="00DE2FF4"/>
    <w:rsid w:val="00DE3041"/>
    <w:rsid w:val="00DE46AB"/>
    <w:rsid w:val="00DE4A50"/>
    <w:rsid w:val="00DE4BED"/>
    <w:rsid w:val="00DE525A"/>
    <w:rsid w:val="00DE56FC"/>
    <w:rsid w:val="00DE6BF8"/>
    <w:rsid w:val="00DE75F7"/>
    <w:rsid w:val="00DE7EFB"/>
    <w:rsid w:val="00DE7F35"/>
    <w:rsid w:val="00DF0435"/>
    <w:rsid w:val="00DF0473"/>
    <w:rsid w:val="00DF1058"/>
    <w:rsid w:val="00DF11B9"/>
    <w:rsid w:val="00DF1F15"/>
    <w:rsid w:val="00DF23BB"/>
    <w:rsid w:val="00DF254D"/>
    <w:rsid w:val="00DF2EE8"/>
    <w:rsid w:val="00DF2FB1"/>
    <w:rsid w:val="00DF2FCB"/>
    <w:rsid w:val="00DF4676"/>
    <w:rsid w:val="00DF48C6"/>
    <w:rsid w:val="00DF4EFB"/>
    <w:rsid w:val="00DF5189"/>
    <w:rsid w:val="00DF70D1"/>
    <w:rsid w:val="00DF72E0"/>
    <w:rsid w:val="00E0035B"/>
    <w:rsid w:val="00E02349"/>
    <w:rsid w:val="00E02DD9"/>
    <w:rsid w:val="00E033FA"/>
    <w:rsid w:val="00E03F2A"/>
    <w:rsid w:val="00E03F9B"/>
    <w:rsid w:val="00E05EF4"/>
    <w:rsid w:val="00E06C82"/>
    <w:rsid w:val="00E06E72"/>
    <w:rsid w:val="00E07262"/>
    <w:rsid w:val="00E10A36"/>
    <w:rsid w:val="00E10DE9"/>
    <w:rsid w:val="00E11F53"/>
    <w:rsid w:val="00E12AE4"/>
    <w:rsid w:val="00E140FD"/>
    <w:rsid w:val="00E15239"/>
    <w:rsid w:val="00E15661"/>
    <w:rsid w:val="00E174E0"/>
    <w:rsid w:val="00E20126"/>
    <w:rsid w:val="00E2025D"/>
    <w:rsid w:val="00E213FD"/>
    <w:rsid w:val="00E22746"/>
    <w:rsid w:val="00E23178"/>
    <w:rsid w:val="00E23353"/>
    <w:rsid w:val="00E251EB"/>
    <w:rsid w:val="00E2570F"/>
    <w:rsid w:val="00E25C56"/>
    <w:rsid w:val="00E26367"/>
    <w:rsid w:val="00E26E55"/>
    <w:rsid w:val="00E27DA2"/>
    <w:rsid w:val="00E30618"/>
    <w:rsid w:val="00E3070E"/>
    <w:rsid w:val="00E31375"/>
    <w:rsid w:val="00E31886"/>
    <w:rsid w:val="00E338EC"/>
    <w:rsid w:val="00E33B1F"/>
    <w:rsid w:val="00E33BD5"/>
    <w:rsid w:val="00E33FA2"/>
    <w:rsid w:val="00E348BF"/>
    <w:rsid w:val="00E37AF5"/>
    <w:rsid w:val="00E41353"/>
    <w:rsid w:val="00E41857"/>
    <w:rsid w:val="00E42612"/>
    <w:rsid w:val="00E4263F"/>
    <w:rsid w:val="00E4467E"/>
    <w:rsid w:val="00E45568"/>
    <w:rsid w:val="00E45CB3"/>
    <w:rsid w:val="00E4621C"/>
    <w:rsid w:val="00E468B0"/>
    <w:rsid w:val="00E46938"/>
    <w:rsid w:val="00E47017"/>
    <w:rsid w:val="00E4722C"/>
    <w:rsid w:val="00E47F8A"/>
    <w:rsid w:val="00E514DA"/>
    <w:rsid w:val="00E519ED"/>
    <w:rsid w:val="00E520C0"/>
    <w:rsid w:val="00E52B37"/>
    <w:rsid w:val="00E52C8B"/>
    <w:rsid w:val="00E52D04"/>
    <w:rsid w:val="00E52FD8"/>
    <w:rsid w:val="00E5416F"/>
    <w:rsid w:val="00E542B0"/>
    <w:rsid w:val="00E553AF"/>
    <w:rsid w:val="00E55491"/>
    <w:rsid w:val="00E55D7E"/>
    <w:rsid w:val="00E55EA8"/>
    <w:rsid w:val="00E569C8"/>
    <w:rsid w:val="00E56B71"/>
    <w:rsid w:val="00E579C1"/>
    <w:rsid w:val="00E61942"/>
    <w:rsid w:val="00E62611"/>
    <w:rsid w:val="00E62EB1"/>
    <w:rsid w:val="00E6510C"/>
    <w:rsid w:val="00E66362"/>
    <w:rsid w:val="00E70313"/>
    <w:rsid w:val="00E7036D"/>
    <w:rsid w:val="00E70E01"/>
    <w:rsid w:val="00E71D6E"/>
    <w:rsid w:val="00E72200"/>
    <w:rsid w:val="00E75583"/>
    <w:rsid w:val="00E75D68"/>
    <w:rsid w:val="00E76981"/>
    <w:rsid w:val="00E7702E"/>
    <w:rsid w:val="00E7741F"/>
    <w:rsid w:val="00E77F13"/>
    <w:rsid w:val="00E801C7"/>
    <w:rsid w:val="00E816C0"/>
    <w:rsid w:val="00E81A35"/>
    <w:rsid w:val="00E82C58"/>
    <w:rsid w:val="00E8320C"/>
    <w:rsid w:val="00E83407"/>
    <w:rsid w:val="00E8378D"/>
    <w:rsid w:val="00E843C4"/>
    <w:rsid w:val="00E84B8B"/>
    <w:rsid w:val="00E85F41"/>
    <w:rsid w:val="00E86949"/>
    <w:rsid w:val="00E87AA9"/>
    <w:rsid w:val="00E90294"/>
    <w:rsid w:val="00E90FE0"/>
    <w:rsid w:val="00E91D47"/>
    <w:rsid w:val="00E91ED3"/>
    <w:rsid w:val="00E93A1A"/>
    <w:rsid w:val="00E9448B"/>
    <w:rsid w:val="00E97383"/>
    <w:rsid w:val="00EA03C0"/>
    <w:rsid w:val="00EA1D3D"/>
    <w:rsid w:val="00EA30D1"/>
    <w:rsid w:val="00EA56BD"/>
    <w:rsid w:val="00EA5800"/>
    <w:rsid w:val="00EA5CB3"/>
    <w:rsid w:val="00EA737A"/>
    <w:rsid w:val="00EA7844"/>
    <w:rsid w:val="00EA78C6"/>
    <w:rsid w:val="00EB0926"/>
    <w:rsid w:val="00EB0BF6"/>
    <w:rsid w:val="00EB1991"/>
    <w:rsid w:val="00EB1BE3"/>
    <w:rsid w:val="00EB3556"/>
    <w:rsid w:val="00EB4617"/>
    <w:rsid w:val="00EB6AA4"/>
    <w:rsid w:val="00EB7547"/>
    <w:rsid w:val="00EB7CD6"/>
    <w:rsid w:val="00EC03BF"/>
    <w:rsid w:val="00EC1A29"/>
    <w:rsid w:val="00EC4810"/>
    <w:rsid w:val="00EC527D"/>
    <w:rsid w:val="00EC5984"/>
    <w:rsid w:val="00EC62C0"/>
    <w:rsid w:val="00EC6829"/>
    <w:rsid w:val="00EC75AA"/>
    <w:rsid w:val="00EC7611"/>
    <w:rsid w:val="00ED0DDB"/>
    <w:rsid w:val="00ED15E5"/>
    <w:rsid w:val="00ED18E0"/>
    <w:rsid w:val="00ED1D4B"/>
    <w:rsid w:val="00ED2E3D"/>
    <w:rsid w:val="00ED3323"/>
    <w:rsid w:val="00ED4742"/>
    <w:rsid w:val="00ED4807"/>
    <w:rsid w:val="00ED578D"/>
    <w:rsid w:val="00ED5DFE"/>
    <w:rsid w:val="00ED6AB0"/>
    <w:rsid w:val="00ED73EC"/>
    <w:rsid w:val="00EE01E4"/>
    <w:rsid w:val="00EE02B3"/>
    <w:rsid w:val="00EE059E"/>
    <w:rsid w:val="00EE155D"/>
    <w:rsid w:val="00EE20D7"/>
    <w:rsid w:val="00EE2601"/>
    <w:rsid w:val="00EE26CB"/>
    <w:rsid w:val="00EE3914"/>
    <w:rsid w:val="00EE3EAB"/>
    <w:rsid w:val="00EE4876"/>
    <w:rsid w:val="00EE48D7"/>
    <w:rsid w:val="00EE5508"/>
    <w:rsid w:val="00EE6413"/>
    <w:rsid w:val="00EE6A9F"/>
    <w:rsid w:val="00EE7963"/>
    <w:rsid w:val="00EF0A78"/>
    <w:rsid w:val="00EF1626"/>
    <w:rsid w:val="00EF2EB6"/>
    <w:rsid w:val="00EF36F4"/>
    <w:rsid w:val="00EF3A52"/>
    <w:rsid w:val="00EF4B39"/>
    <w:rsid w:val="00EF5A13"/>
    <w:rsid w:val="00EF7A9B"/>
    <w:rsid w:val="00EF7CD6"/>
    <w:rsid w:val="00F01A6C"/>
    <w:rsid w:val="00F01A91"/>
    <w:rsid w:val="00F01B92"/>
    <w:rsid w:val="00F05819"/>
    <w:rsid w:val="00F059D7"/>
    <w:rsid w:val="00F05E37"/>
    <w:rsid w:val="00F069BA"/>
    <w:rsid w:val="00F06B45"/>
    <w:rsid w:val="00F10CD9"/>
    <w:rsid w:val="00F1165B"/>
    <w:rsid w:val="00F12103"/>
    <w:rsid w:val="00F124BA"/>
    <w:rsid w:val="00F126F1"/>
    <w:rsid w:val="00F12894"/>
    <w:rsid w:val="00F12E22"/>
    <w:rsid w:val="00F12F39"/>
    <w:rsid w:val="00F1368A"/>
    <w:rsid w:val="00F138CE"/>
    <w:rsid w:val="00F15D4E"/>
    <w:rsid w:val="00F16124"/>
    <w:rsid w:val="00F16619"/>
    <w:rsid w:val="00F167CC"/>
    <w:rsid w:val="00F16D4B"/>
    <w:rsid w:val="00F17880"/>
    <w:rsid w:val="00F200A9"/>
    <w:rsid w:val="00F2064B"/>
    <w:rsid w:val="00F20A85"/>
    <w:rsid w:val="00F20E08"/>
    <w:rsid w:val="00F2396E"/>
    <w:rsid w:val="00F24305"/>
    <w:rsid w:val="00F244A4"/>
    <w:rsid w:val="00F25050"/>
    <w:rsid w:val="00F25CE8"/>
    <w:rsid w:val="00F26039"/>
    <w:rsid w:val="00F2623D"/>
    <w:rsid w:val="00F304ED"/>
    <w:rsid w:val="00F307D7"/>
    <w:rsid w:val="00F31006"/>
    <w:rsid w:val="00F31C34"/>
    <w:rsid w:val="00F32C32"/>
    <w:rsid w:val="00F34320"/>
    <w:rsid w:val="00F346F9"/>
    <w:rsid w:val="00F358B9"/>
    <w:rsid w:val="00F35C7B"/>
    <w:rsid w:val="00F37D3C"/>
    <w:rsid w:val="00F40A4A"/>
    <w:rsid w:val="00F40BA7"/>
    <w:rsid w:val="00F4167B"/>
    <w:rsid w:val="00F41CF5"/>
    <w:rsid w:val="00F42572"/>
    <w:rsid w:val="00F43906"/>
    <w:rsid w:val="00F44225"/>
    <w:rsid w:val="00F45109"/>
    <w:rsid w:val="00F51632"/>
    <w:rsid w:val="00F51BC4"/>
    <w:rsid w:val="00F52C29"/>
    <w:rsid w:val="00F52F0A"/>
    <w:rsid w:val="00F53E65"/>
    <w:rsid w:val="00F5591E"/>
    <w:rsid w:val="00F602B4"/>
    <w:rsid w:val="00F60C65"/>
    <w:rsid w:val="00F60EDF"/>
    <w:rsid w:val="00F618AF"/>
    <w:rsid w:val="00F619FF"/>
    <w:rsid w:val="00F627E6"/>
    <w:rsid w:val="00F62959"/>
    <w:rsid w:val="00F6319E"/>
    <w:rsid w:val="00F6529B"/>
    <w:rsid w:val="00F655F8"/>
    <w:rsid w:val="00F665F6"/>
    <w:rsid w:val="00F66F4A"/>
    <w:rsid w:val="00F67484"/>
    <w:rsid w:val="00F706D6"/>
    <w:rsid w:val="00F70F5B"/>
    <w:rsid w:val="00F71740"/>
    <w:rsid w:val="00F726AF"/>
    <w:rsid w:val="00F74250"/>
    <w:rsid w:val="00F74700"/>
    <w:rsid w:val="00F74A26"/>
    <w:rsid w:val="00F74A92"/>
    <w:rsid w:val="00F7567E"/>
    <w:rsid w:val="00F761D8"/>
    <w:rsid w:val="00F76863"/>
    <w:rsid w:val="00F76969"/>
    <w:rsid w:val="00F772A2"/>
    <w:rsid w:val="00F8123E"/>
    <w:rsid w:val="00F812C5"/>
    <w:rsid w:val="00F8189A"/>
    <w:rsid w:val="00F81AF8"/>
    <w:rsid w:val="00F8270F"/>
    <w:rsid w:val="00F835E9"/>
    <w:rsid w:val="00F838F3"/>
    <w:rsid w:val="00F83AAB"/>
    <w:rsid w:val="00F84169"/>
    <w:rsid w:val="00F84257"/>
    <w:rsid w:val="00F84370"/>
    <w:rsid w:val="00F85935"/>
    <w:rsid w:val="00F8614D"/>
    <w:rsid w:val="00F866A5"/>
    <w:rsid w:val="00F8695F"/>
    <w:rsid w:val="00F86E77"/>
    <w:rsid w:val="00F86E89"/>
    <w:rsid w:val="00F87420"/>
    <w:rsid w:val="00F912F5"/>
    <w:rsid w:val="00F9195E"/>
    <w:rsid w:val="00F91BF2"/>
    <w:rsid w:val="00F927EE"/>
    <w:rsid w:val="00F9323D"/>
    <w:rsid w:val="00F9363E"/>
    <w:rsid w:val="00F94613"/>
    <w:rsid w:val="00F948BA"/>
    <w:rsid w:val="00F95F85"/>
    <w:rsid w:val="00F961EB"/>
    <w:rsid w:val="00F9767A"/>
    <w:rsid w:val="00F97C28"/>
    <w:rsid w:val="00F97EB1"/>
    <w:rsid w:val="00FA08F2"/>
    <w:rsid w:val="00FA3E92"/>
    <w:rsid w:val="00FA44D5"/>
    <w:rsid w:val="00FA465A"/>
    <w:rsid w:val="00FA4D28"/>
    <w:rsid w:val="00FA5A0C"/>
    <w:rsid w:val="00FA5D3C"/>
    <w:rsid w:val="00FA5DF4"/>
    <w:rsid w:val="00FA6E9C"/>
    <w:rsid w:val="00FB162F"/>
    <w:rsid w:val="00FB2043"/>
    <w:rsid w:val="00FB38E5"/>
    <w:rsid w:val="00FB64EF"/>
    <w:rsid w:val="00FB685D"/>
    <w:rsid w:val="00FB6F09"/>
    <w:rsid w:val="00FB7090"/>
    <w:rsid w:val="00FC1217"/>
    <w:rsid w:val="00FC2ED4"/>
    <w:rsid w:val="00FC393F"/>
    <w:rsid w:val="00FC55B3"/>
    <w:rsid w:val="00FC589D"/>
    <w:rsid w:val="00FC5BCD"/>
    <w:rsid w:val="00FC64BE"/>
    <w:rsid w:val="00FD00F9"/>
    <w:rsid w:val="00FD0A4D"/>
    <w:rsid w:val="00FD1478"/>
    <w:rsid w:val="00FD32FD"/>
    <w:rsid w:val="00FD4E1E"/>
    <w:rsid w:val="00FD4FB1"/>
    <w:rsid w:val="00FD5332"/>
    <w:rsid w:val="00FD5D6C"/>
    <w:rsid w:val="00FD66BD"/>
    <w:rsid w:val="00FD7DA1"/>
    <w:rsid w:val="00FE0DB1"/>
    <w:rsid w:val="00FE169D"/>
    <w:rsid w:val="00FE1C3F"/>
    <w:rsid w:val="00FE1F5C"/>
    <w:rsid w:val="00FE22CD"/>
    <w:rsid w:val="00FE2317"/>
    <w:rsid w:val="00FE2CAB"/>
    <w:rsid w:val="00FE383F"/>
    <w:rsid w:val="00FE432B"/>
    <w:rsid w:val="00FE5BAD"/>
    <w:rsid w:val="00FE766D"/>
    <w:rsid w:val="00FF17F5"/>
    <w:rsid w:val="00FF21F0"/>
    <w:rsid w:val="00FF2288"/>
    <w:rsid w:val="00FF23E4"/>
    <w:rsid w:val="00FF3A78"/>
    <w:rsid w:val="00FF4B58"/>
    <w:rsid w:val="00FF6C0A"/>
    <w:rsid w:val="00FF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5D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1F4F"/>
    <w:pPr>
      <w:keepNext/>
      <w:keepLines/>
      <w:jc w:val="center"/>
      <w:outlineLvl w:val="0"/>
    </w:pPr>
    <w:rPr>
      <w:rFonts w:eastAsiaTheme="majorEastAsia" w:cstheme="majorBidi"/>
      <w:smallCaps/>
    </w:rPr>
  </w:style>
  <w:style w:type="paragraph" w:styleId="Heading2">
    <w:name w:val="heading 2"/>
    <w:basedOn w:val="Normal"/>
    <w:next w:val="Normal"/>
    <w:link w:val="Heading2Char"/>
    <w:uiPriority w:val="9"/>
    <w:unhideWhenUsed/>
    <w:qFormat/>
    <w:rsid w:val="00B31F4F"/>
    <w:pPr>
      <w:keepNext/>
      <w:keepLines/>
      <w:jc w:val="center"/>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1F4F"/>
    <w:pPr>
      <w:contextualSpacing/>
      <w:jc w:val="center"/>
    </w:pPr>
    <w:rPr>
      <w:rFonts w:eastAsiaTheme="majorEastAsia" w:cstheme="majorBidi"/>
      <w:b/>
      <w:bCs/>
      <w:caps/>
      <w:spacing w:val="-10"/>
      <w:kern w:val="28"/>
    </w:rPr>
  </w:style>
  <w:style w:type="character" w:customStyle="1" w:styleId="TitleChar">
    <w:name w:val="Title Char"/>
    <w:basedOn w:val="DefaultParagraphFont"/>
    <w:link w:val="Title"/>
    <w:uiPriority w:val="10"/>
    <w:rsid w:val="00B31F4F"/>
    <w:rPr>
      <w:rFonts w:eastAsiaTheme="majorEastAsia" w:cstheme="majorBidi"/>
      <w:b/>
      <w:bCs/>
      <w:caps/>
      <w:spacing w:val="-10"/>
      <w:kern w:val="28"/>
    </w:rPr>
  </w:style>
  <w:style w:type="character" w:customStyle="1" w:styleId="Heading1Char">
    <w:name w:val="Heading 1 Char"/>
    <w:basedOn w:val="DefaultParagraphFont"/>
    <w:link w:val="Heading1"/>
    <w:uiPriority w:val="9"/>
    <w:rsid w:val="00B31F4F"/>
    <w:rPr>
      <w:rFonts w:eastAsiaTheme="majorEastAsia" w:cstheme="majorBidi"/>
      <w:smallCaps/>
    </w:rPr>
  </w:style>
  <w:style w:type="character" w:customStyle="1" w:styleId="Heading2Char">
    <w:name w:val="Heading 2 Char"/>
    <w:basedOn w:val="DefaultParagraphFont"/>
    <w:link w:val="Heading2"/>
    <w:uiPriority w:val="9"/>
    <w:rsid w:val="00B31F4F"/>
    <w:rPr>
      <w:rFonts w:eastAsiaTheme="majorEastAsia" w:cstheme="majorBidi"/>
      <w:i/>
      <w:szCs w:val="26"/>
    </w:rPr>
  </w:style>
  <w:style w:type="paragraph" w:styleId="NoSpacing">
    <w:name w:val="No Spacing"/>
    <w:uiPriority w:val="1"/>
    <w:qFormat/>
    <w:rsid w:val="00A75803"/>
    <w:rPr>
      <w:rFonts w:cs="Times New Roman"/>
      <w:lang w:val="en-AU"/>
    </w:rPr>
  </w:style>
  <w:style w:type="paragraph" w:styleId="FootnoteText">
    <w:name w:val="footnote text"/>
    <w:basedOn w:val="Normal"/>
    <w:link w:val="FootnoteTextChar"/>
    <w:autoRedefine/>
    <w:unhideWhenUsed/>
    <w:rsid w:val="007F6ECC"/>
    <w:rPr>
      <w:sz w:val="20"/>
    </w:rPr>
  </w:style>
  <w:style w:type="character" w:customStyle="1" w:styleId="FootnoteTextChar">
    <w:name w:val="Footnote Text Char"/>
    <w:basedOn w:val="DefaultParagraphFont"/>
    <w:link w:val="FootnoteText"/>
    <w:uiPriority w:val="99"/>
    <w:rsid w:val="007F6ECC"/>
    <w:rPr>
      <w:sz w:val="20"/>
    </w:rPr>
  </w:style>
  <w:style w:type="character" w:styleId="FootnoteReference">
    <w:name w:val="footnote reference"/>
    <w:basedOn w:val="DefaultParagraphFont"/>
    <w:unhideWhenUsed/>
    <w:rsid w:val="00F1165B"/>
    <w:rPr>
      <w:vertAlign w:val="superscript"/>
    </w:rPr>
  </w:style>
  <w:style w:type="paragraph" w:styleId="ListParagraph">
    <w:name w:val="List Paragraph"/>
    <w:basedOn w:val="Normal"/>
    <w:uiPriority w:val="34"/>
    <w:qFormat/>
    <w:rsid w:val="004E45DE"/>
    <w:pPr>
      <w:ind w:left="720"/>
      <w:contextualSpacing/>
    </w:pPr>
  </w:style>
  <w:style w:type="paragraph" w:styleId="Footer">
    <w:name w:val="footer"/>
    <w:basedOn w:val="Normal"/>
    <w:link w:val="FooterChar"/>
    <w:uiPriority w:val="99"/>
    <w:unhideWhenUsed/>
    <w:rsid w:val="00160DE7"/>
    <w:pPr>
      <w:tabs>
        <w:tab w:val="center" w:pos="4513"/>
        <w:tab w:val="right" w:pos="9026"/>
      </w:tabs>
    </w:pPr>
  </w:style>
  <w:style w:type="character" w:customStyle="1" w:styleId="FooterChar">
    <w:name w:val="Footer Char"/>
    <w:basedOn w:val="DefaultParagraphFont"/>
    <w:link w:val="Footer"/>
    <w:uiPriority w:val="99"/>
    <w:rsid w:val="00160DE7"/>
  </w:style>
  <w:style w:type="character" w:styleId="PageNumber">
    <w:name w:val="page number"/>
    <w:basedOn w:val="DefaultParagraphFont"/>
    <w:uiPriority w:val="99"/>
    <w:semiHidden/>
    <w:unhideWhenUsed/>
    <w:rsid w:val="00160DE7"/>
  </w:style>
  <w:style w:type="paragraph" w:styleId="Header">
    <w:name w:val="header"/>
    <w:basedOn w:val="Normal"/>
    <w:link w:val="HeaderChar"/>
    <w:uiPriority w:val="99"/>
    <w:unhideWhenUsed/>
    <w:rsid w:val="00160DE7"/>
    <w:pPr>
      <w:tabs>
        <w:tab w:val="center" w:pos="4513"/>
        <w:tab w:val="right" w:pos="9026"/>
      </w:tabs>
    </w:pPr>
  </w:style>
  <w:style w:type="character" w:customStyle="1" w:styleId="HeaderChar">
    <w:name w:val="Header Char"/>
    <w:basedOn w:val="DefaultParagraphFont"/>
    <w:link w:val="Header"/>
    <w:uiPriority w:val="99"/>
    <w:rsid w:val="00160DE7"/>
  </w:style>
  <w:style w:type="paragraph" w:styleId="DocumentMap">
    <w:name w:val="Document Map"/>
    <w:basedOn w:val="Normal"/>
    <w:link w:val="DocumentMapChar"/>
    <w:uiPriority w:val="99"/>
    <w:semiHidden/>
    <w:unhideWhenUsed/>
    <w:rsid w:val="006C54F4"/>
    <w:rPr>
      <w:rFonts w:cs="Times New Roman"/>
    </w:rPr>
  </w:style>
  <w:style w:type="character" w:customStyle="1" w:styleId="DocumentMapChar">
    <w:name w:val="Document Map Char"/>
    <w:basedOn w:val="DefaultParagraphFont"/>
    <w:link w:val="DocumentMap"/>
    <w:uiPriority w:val="99"/>
    <w:semiHidden/>
    <w:rsid w:val="006C54F4"/>
    <w:rPr>
      <w:rFonts w:cs="Times New Roman"/>
    </w:rPr>
  </w:style>
  <w:style w:type="paragraph" w:styleId="BalloonText">
    <w:name w:val="Balloon Text"/>
    <w:basedOn w:val="Normal"/>
    <w:link w:val="BalloonTextChar"/>
    <w:uiPriority w:val="99"/>
    <w:semiHidden/>
    <w:unhideWhenUsed/>
    <w:rsid w:val="004E17D8"/>
    <w:rPr>
      <w:rFonts w:cs="Times New Roman"/>
      <w:sz w:val="18"/>
      <w:szCs w:val="18"/>
    </w:rPr>
  </w:style>
  <w:style w:type="character" w:customStyle="1" w:styleId="BalloonTextChar">
    <w:name w:val="Balloon Text Char"/>
    <w:basedOn w:val="DefaultParagraphFont"/>
    <w:link w:val="BalloonText"/>
    <w:uiPriority w:val="99"/>
    <w:semiHidden/>
    <w:rsid w:val="004E17D8"/>
    <w:rPr>
      <w:rFonts w:cs="Times New Roman"/>
      <w:sz w:val="18"/>
      <w:szCs w:val="18"/>
    </w:rPr>
  </w:style>
  <w:style w:type="character" w:styleId="PlaceholderText">
    <w:name w:val="Placeholder Text"/>
    <w:basedOn w:val="DefaultParagraphFont"/>
    <w:uiPriority w:val="99"/>
    <w:semiHidden/>
    <w:rsid w:val="004939FE"/>
    <w:rPr>
      <w:color w:val="808080"/>
    </w:rPr>
  </w:style>
  <w:style w:type="paragraph" w:styleId="TOCHeading">
    <w:name w:val="TOC Heading"/>
    <w:basedOn w:val="Heading1"/>
    <w:next w:val="Normal"/>
    <w:uiPriority w:val="39"/>
    <w:unhideWhenUsed/>
    <w:qFormat/>
    <w:rsid w:val="00E10DE9"/>
    <w:pPr>
      <w:spacing w:before="480" w:line="276" w:lineRule="auto"/>
      <w:jc w:val="left"/>
      <w:outlineLvl w:val="9"/>
    </w:pPr>
    <w:rPr>
      <w:rFonts w:asciiTheme="majorHAnsi" w:hAnsiTheme="majorHAnsi"/>
      <w:b/>
      <w:bCs/>
      <w:smallCaps w:val="0"/>
      <w:color w:val="2E74B5" w:themeColor="accent1" w:themeShade="BF"/>
      <w:sz w:val="28"/>
      <w:szCs w:val="28"/>
    </w:rPr>
  </w:style>
  <w:style w:type="paragraph" w:styleId="TOC1">
    <w:name w:val="toc 1"/>
    <w:basedOn w:val="Normal"/>
    <w:next w:val="Normal"/>
    <w:autoRedefine/>
    <w:uiPriority w:val="39"/>
    <w:unhideWhenUsed/>
    <w:rsid w:val="00E10DE9"/>
    <w:pPr>
      <w:spacing w:before="120"/>
    </w:pPr>
    <w:rPr>
      <w:rFonts w:asciiTheme="minorHAnsi" w:hAnsiTheme="minorHAnsi"/>
      <w:b/>
      <w:bCs/>
      <w:caps/>
      <w:sz w:val="22"/>
      <w:szCs w:val="22"/>
    </w:rPr>
  </w:style>
  <w:style w:type="paragraph" w:styleId="TOC2">
    <w:name w:val="toc 2"/>
    <w:basedOn w:val="Normal"/>
    <w:next w:val="Normal"/>
    <w:autoRedefine/>
    <w:uiPriority w:val="39"/>
    <w:unhideWhenUsed/>
    <w:rsid w:val="00E10DE9"/>
    <w:pPr>
      <w:ind w:left="240"/>
    </w:pPr>
    <w:rPr>
      <w:rFonts w:asciiTheme="minorHAnsi" w:hAnsiTheme="minorHAnsi"/>
      <w:smallCaps/>
      <w:sz w:val="22"/>
      <w:szCs w:val="22"/>
    </w:rPr>
  </w:style>
  <w:style w:type="character" w:styleId="Hyperlink">
    <w:name w:val="Hyperlink"/>
    <w:basedOn w:val="DefaultParagraphFont"/>
    <w:uiPriority w:val="99"/>
    <w:unhideWhenUsed/>
    <w:rsid w:val="00E10DE9"/>
    <w:rPr>
      <w:color w:val="0563C1" w:themeColor="hyperlink"/>
      <w:u w:val="single"/>
    </w:rPr>
  </w:style>
  <w:style w:type="paragraph" w:styleId="TOC3">
    <w:name w:val="toc 3"/>
    <w:basedOn w:val="Normal"/>
    <w:next w:val="Normal"/>
    <w:autoRedefine/>
    <w:uiPriority w:val="39"/>
    <w:semiHidden/>
    <w:unhideWhenUsed/>
    <w:rsid w:val="00E10DE9"/>
    <w:pPr>
      <w:ind w:left="480"/>
    </w:pPr>
    <w:rPr>
      <w:rFonts w:asciiTheme="minorHAnsi" w:hAnsiTheme="minorHAnsi"/>
      <w:i/>
      <w:iCs/>
      <w:sz w:val="22"/>
      <w:szCs w:val="22"/>
    </w:rPr>
  </w:style>
  <w:style w:type="paragraph" w:styleId="TOC4">
    <w:name w:val="toc 4"/>
    <w:basedOn w:val="Normal"/>
    <w:next w:val="Normal"/>
    <w:autoRedefine/>
    <w:uiPriority w:val="39"/>
    <w:semiHidden/>
    <w:unhideWhenUsed/>
    <w:rsid w:val="00E10DE9"/>
    <w:pPr>
      <w:ind w:left="720"/>
    </w:pPr>
    <w:rPr>
      <w:rFonts w:asciiTheme="minorHAnsi" w:hAnsiTheme="minorHAnsi"/>
      <w:sz w:val="18"/>
      <w:szCs w:val="18"/>
    </w:rPr>
  </w:style>
  <w:style w:type="paragraph" w:styleId="TOC5">
    <w:name w:val="toc 5"/>
    <w:basedOn w:val="Normal"/>
    <w:next w:val="Normal"/>
    <w:autoRedefine/>
    <w:uiPriority w:val="39"/>
    <w:semiHidden/>
    <w:unhideWhenUsed/>
    <w:rsid w:val="00E10DE9"/>
    <w:pPr>
      <w:ind w:left="960"/>
    </w:pPr>
    <w:rPr>
      <w:rFonts w:asciiTheme="minorHAnsi" w:hAnsiTheme="minorHAnsi"/>
      <w:sz w:val="18"/>
      <w:szCs w:val="18"/>
    </w:rPr>
  </w:style>
  <w:style w:type="paragraph" w:styleId="TOC6">
    <w:name w:val="toc 6"/>
    <w:basedOn w:val="Normal"/>
    <w:next w:val="Normal"/>
    <w:autoRedefine/>
    <w:uiPriority w:val="39"/>
    <w:semiHidden/>
    <w:unhideWhenUsed/>
    <w:rsid w:val="00E10DE9"/>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E10DE9"/>
    <w:pPr>
      <w:ind w:left="1440"/>
    </w:pPr>
    <w:rPr>
      <w:rFonts w:asciiTheme="minorHAnsi" w:hAnsiTheme="minorHAnsi"/>
      <w:sz w:val="18"/>
      <w:szCs w:val="18"/>
    </w:rPr>
  </w:style>
  <w:style w:type="paragraph" w:styleId="TOC8">
    <w:name w:val="toc 8"/>
    <w:basedOn w:val="Normal"/>
    <w:next w:val="Normal"/>
    <w:autoRedefine/>
    <w:uiPriority w:val="39"/>
    <w:semiHidden/>
    <w:unhideWhenUsed/>
    <w:rsid w:val="00E10DE9"/>
    <w:pPr>
      <w:ind w:left="1680"/>
    </w:pPr>
    <w:rPr>
      <w:rFonts w:asciiTheme="minorHAnsi" w:hAnsiTheme="minorHAnsi"/>
      <w:sz w:val="18"/>
      <w:szCs w:val="18"/>
    </w:rPr>
  </w:style>
  <w:style w:type="paragraph" w:styleId="TOC9">
    <w:name w:val="toc 9"/>
    <w:basedOn w:val="Normal"/>
    <w:next w:val="Normal"/>
    <w:autoRedefine/>
    <w:uiPriority w:val="39"/>
    <w:semiHidden/>
    <w:unhideWhenUsed/>
    <w:rsid w:val="00E10DE9"/>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4911">
      <w:bodyDiv w:val="1"/>
      <w:marLeft w:val="0"/>
      <w:marRight w:val="0"/>
      <w:marTop w:val="0"/>
      <w:marBottom w:val="0"/>
      <w:divBdr>
        <w:top w:val="none" w:sz="0" w:space="0" w:color="auto"/>
        <w:left w:val="none" w:sz="0" w:space="0" w:color="auto"/>
        <w:bottom w:val="none" w:sz="0" w:space="0" w:color="auto"/>
        <w:right w:val="none" w:sz="0" w:space="0" w:color="auto"/>
      </w:divBdr>
    </w:div>
    <w:div w:id="765073120">
      <w:bodyDiv w:val="1"/>
      <w:marLeft w:val="0"/>
      <w:marRight w:val="0"/>
      <w:marTop w:val="0"/>
      <w:marBottom w:val="0"/>
      <w:divBdr>
        <w:top w:val="none" w:sz="0" w:space="0" w:color="auto"/>
        <w:left w:val="none" w:sz="0" w:space="0" w:color="auto"/>
        <w:bottom w:val="none" w:sz="0" w:space="0" w:color="auto"/>
        <w:right w:val="none" w:sz="0" w:space="0" w:color="auto"/>
      </w:divBdr>
    </w:div>
    <w:div w:id="1169322679">
      <w:bodyDiv w:val="1"/>
      <w:marLeft w:val="0"/>
      <w:marRight w:val="0"/>
      <w:marTop w:val="0"/>
      <w:marBottom w:val="0"/>
      <w:divBdr>
        <w:top w:val="none" w:sz="0" w:space="0" w:color="auto"/>
        <w:left w:val="none" w:sz="0" w:space="0" w:color="auto"/>
        <w:bottom w:val="none" w:sz="0" w:space="0" w:color="auto"/>
        <w:right w:val="none" w:sz="0" w:space="0" w:color="auto"/>
      </w:divBdr>
      <w:divsChild>
        <w:div w:id="312754296">
          <w:marLeft w:val="0"/>
          <w:marRight w:val="0"/>
          <w:marTop w:val="0"/>
          <w:marBottom w:val="0"/>
          <w:divBdr>
            <w:top w:val="none" w:sz="0" w:space="0" w:color="auto"/>
            <w:left w:val="none" w:sz="0" w:space="0" w:color="auto"/>
            <w:bottom w:val="none" w:sz="0" w:space="0" w:color="auto"/>
            <w:right w:val="none" w:sz="0" w:space="0" w:color="auto"/>
          </w:divBdr>
          <w:divsChild>
            <w:div w:id="367145981">
              <w:marLeft w:val="0"/>
              <w:marRight w:val="0"/>
              <w:marTop w:val="0"/>
              <w:marBottom w:val="0"/>
              <w:divBdr>
                <w:top w:val="none" w:sz="0" w:space="0" w:color="auto"/>
                <w:left w:val="none" w:sz="0" w:space="0" w:color="auto"/>
                <w:bottom w:val="none" w:sz="0" w:space="0" w:color="auto"/>
                <w:right w:val="none" w:sz="0" w:space="0" w:color="auto"/>
              </w:divBdr>
              <w:divsChild>
                <w:div w:id="3520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93713">
      <w:bodyDiv w:val="1"/>
      <w:marLeft w:val="0"/>
      <w:marRight w:val="0"/>
      <w:marTop w:val="0"/>
      <w:marBottom w:val="0"/>
      <w:divBdr>
        <w:top w:val="none" w:sz="0" w:space="0" w:color="auto"/>
        <w:left w:val="none" w:sz="0" w:space="0" w:color="auto"/>
        <w:bottom w:val="none" w:sz="0" w:space="0" w:color="auto"/>
        <w:right w:val="none" w:sz="0" w:space="0" w:color="auto"/>
      </w:divBdr>
      <w:divsChild>
        <w:div w:id="662122464">
          <w:marLeft w:val="0"/>
          <w:marRight w:val="0"/>
          <w:marTop w:val="0"/>
          <w:marBottom w:val="0"/>
          <w:divBdr>
            <w:top w:val="none" w:sz="0" w:space="0" w:color="auto"/>
            <w:left w:val="none" w:sz="0" w:space="0" w:color="auto"/>
            <w:bottom w:val="none" w:sz="0" w:space="0" w:color="auto"/>
            <w:right w:val="none" w:sz="0" w:space="0" w:color="auto"/>
          </w:divBdr>
          <w:divsChild>
            <w:div w:id="1216163784">
              <w:marLeft w:val="0"/>
              <w:marRight w:val="0"/>
              <w:marTop w:val="0"/>
              <w:marBottom w:val="0"/>
              <w:divBdr>
                <w:top w:val="none" w:sz="0" w:space="0" w:color="auto"/>
                <w:left w:val="none" w:sz="0" w:space="0" w:color="auto"/>
                <w:bottom w:val="none" w:sz="0" w:space="0" w:color="auto"/>
                <w:right w:val="none" w:sz="0" w:space="0" w:color="auto"/>
              </w:divBdr>
              <w:divsChild>
                <w:div w:id="1149129445">
                  <w:marLeft w:val="0"/>
                  <w:marRight w:val="0"/>
                  <w:marTop w:val="0"/>
                  <w:marBottom w:val="0"/>
                  <w:divBdr>
                    <w:top w:val="none" w:sz="0" w:space="0" w:color="auto"/>
                    <w:left w:val="none" w:sz="0" w:space="0" w:color="auto"/>
                    <w:bottom w:val="none" w:sz="0" w:space="0" w:color="auto"/>
                    <w:right w:val="none" w:sz="0" w:space="0" w:color="auto"/>
                  </w:divBdr>
                  <w:divsChild>
                    <w:div w:id="10556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536695">
      <w:bodyDiv w:val="1"/>
      <w:marLeft w:val="0"/>
      <w:marRight w:val="0"/>
      <w:marTop w:val="0"/>
      <w:marBottom w:val="0"/>
      <w:divBdr>
        <w:top w:val="none" w:sz="0" w:space="0" w:color="auto"/>
        <w:left w:val="none" w:sz="0" w:space="0" w:color="auto"/>
        <w:bottom w:val="none" w:sz="0" w:space="0" w:color="auto"/>
        <w:right w:val="none" w:sz="0" w:space="0" w:color="auto"/>
      </w:divBdr>
      <w:divsChild>
        <w:div w:id="89932971">
          <w:marLeft w:val="0"/>
          <w:marRight w:val="0"/>
          <w:marTop w:val="0"/>
          <w:marBottom w:val="0"/>
          <w:divBdr>
            <w:top w:val="none" w:sz="0" w:space="0" w:color="auto"/>
            <w:left w:val="none" w:sz="0" w:space="0" w:color="auto"/>
            <w:bottom w:val="none" w:sz="0" w:space="0" w:color="auto"/>
            <w:right w:val="none" w:sz="0" w:space="0" w:color="auto"/>
          </w:divBdr>
          <w:divsChild>
            <w:div w:id="281152753">
              <w:marLeft w:val="0"/>
              <w:marRight w:val="0"/>
              <w:marTop w:val="0"/>
              <w:marBottom w:val="0"/>
              <w:divBdr>
                <w:top w:val="none" w:sz="0" w:space="0" w:color="auto"/>
                <w:left w:val="none" w:sz="0" w:space="0" w:color="auto"/>
                <w:bottom w:val="none" w:sz="0" w:space="0" w:color="auto"/>
                <w:right w:val="none" w:sz="0" w:space="0" w:color="auto"/>
              </w:divBdr>
              <w:divsChild>
                <w:div w:id="2006324703">
                  <w:marLeft w:val="0"/>
                  <w:marRight w:val="0"/>
                  <w:marTop w:val="0"/>
                  <w:marBottom w:val="0"/>
                  <w:divBdr>
                    <w:top w:val="none" w:sz="0" w:space="0" w:color="auto"/>
                    <w:left w:val="none" w:sz="0" w:space="0" w:color="auto"/>
                    <w:bottom w:val="none" w:sz="0" w:space="0" w:color="auto"/>
                    <w:right w:val="none" w:sz="0" w:space="0" w:color="auto"/>
                  </w:divBdr>
                  <w:divsChild>
                    <w:div w:id="13723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048091">
      <w:bodyDiv w:val="1"/>
      <w:marLeft w:val="0"/>
      <w:marRight w:val="0"/>
      <w:marTop w:val="0"/>
      <w:marBottom w:val="0"/>
      <w:divBdr>
        <w:top w:val="none" w:sz="0" w:space="0" w:color="auto"/>
        <w:left w:val="none" w:sz="0" w:space="0" w:color="auto"/>
        <w:bottom w:val="none" w:sz="0" w:space="0" w:color="auto"/>
        <w:right w:val="none" w:sz="0" w:space="0" w:color="auto"/>
      </w:divBdr>
      <w:divsChild>
        <w:div w:id="1339231229">
          <w:marLeft w:val="0"/>
          <w:marRight w:val="0"/>
          <w:marTop w:val="0"/>
          <w:marBottom w:val="0"/>
          <w:divBdr>
            <w:top w:val="none" w:sz="0" w:space="0" w:color="auto"/>
            <w:left w:val="none" w:sz="0" w:space="0" w:color="auto"/>
            <w:bottom w:val="none" w:sz="0" w:space="0" w:color="auto"/>
            <w:right w:val="none" w:sz="0" w:space="0" w:color="auto"/>
          </w:divBdr>
          <w:divsChild>
            <w:div w:id="1549225381">
              <w:marLeft w:val="0"/>
              <w:marRight w:val="0"/>
              <w:marTop w:val="0"/>
              <w:marBottom w:val="0"/>
              <w:divBdr>
                <w:top w:val="none" w:sz="0" w:space="0" w:color="auto"/>
                <w:left w:val="none" w:sz="0" w:space="0" w:color="auto"/>
                <w:bottom w:val="none" w:sz="0" w:space="0" w:color="auto"/>
                <w:right w:val="none" w:sz="0" w:space="0" w:color="auto"/>
              </w:divBdr>
              <w:divsChild>
                <w:div w:id="5082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B7CD64-5E2E-DC48-98E4-2A9C140F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3159</TotalTime>
  <Pages>61</Pages>
  <Words>16568</Words>
  <Characters>94438</Characters>
  <Application>Microsoft Macintosh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Scott Lang</dc:creator>
  <cp:keywords/>
  <dc:description/>
  <cp:lastModifiedBy>Mr Scott Lang</cp:lastModifiedBy>
  <cp:revision>989</cp:revision>
  <dcterms:created xsi:type="dcterms:W3CDTF">2016-03-06T15:25:00Z</dcterms:created>
  <dcterms:modified xsi:type="dcterms:W3CDTF">2016-05-08T13:55:00Z</dcterms:modified>
</cp:coreProperties>
</file>